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BE76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80" w:firstLineChars="200"/>
        <w:jc w:val="center"/>
        <w:rPr>
          <w:rFonts w:hint="default" w:hAnsi="宋体" w:eastAsia="宋体" w:cs="宋体"/>
          <w:sz w:val="44"/>
          <w:szCs w:val="44"/>
          <w:lang w:val="en-US" w:eastAsia="zh-CN"/>
        </w:rPr>
      </w:pPr>
      <w:r>
        <w:rPr>
          <w:rFonts w:hint="eastAsia" w:ascii="宋体" w:hAnsi="宋体" w:eastAsia="宋体" w:cs="宋体"/>
          <w:i w:val="0"/>
          <w:iCs w:val="0"/>
          <w:caps w:val="0"/>
          <w:color w:val="333333"/>
          <w:spacing w:val="0"/>
          <w:sz w:val="44"/>
          <w:szCs w:val="44"/>
          <w:shd w:val="clear" w:fill="FFFFFF"/>
        </w:rPr>
        <w:t>技术</w:t>
      </w:r>
      <w:r>
        <w:rPr>
          <w:rFonts w:hint="eastAsia" w:ascii="宋体" w:hAnsi="宋体" w:eastAsia="宋体" w:cs="宋体"/>
          <w:i w:val="0"/>
          <w:iCs w:val="0"/>
          <w:caps w:val="0"/>
          <w:color w:val="333333"/>
          <w:spacing w:val="0"/>
          <w:sz w:val="44"/>
          <w:szCs w:val="44"/>
          <w:shd w:val="clear" w:fill="FFFFFF"/>
          <w:lang w:eastAsia="zh-CN"/>
        </w:rPr>
        <w:t>、</w:t>
      </w:r>
      <w:r>
        <w:rPr>
          <w:rFonts w:hint="eastAsia" w:ascii="宋体" w:hAnsi="宋体" w:eastAsia="宋体" w:cs="宋体"/>
          <w:i w:val="0"/>
          <w:iCs w:val="0"/>
          <w:caps w:val="0"/>
          <w:color w:val="333333"/>
          <w:spacing w:val="0"/>
          <w:sz w:val="44"/>
          <w:szCs w:val="44"/>
          <w:shd w:val="clear" w:fill="FFFFFF"/>
        </w:rPr>
        <w:t>商务</w:t>
      </w:r>
      <w:r>
        <w:rPr>
          <w:rFonts w:hint="eastAsia" w:ascii="宋体" w:hAnsi="宋体" w:eastAsia="宋体" w:cs="宋体"/>
          <w:i w:val="0"/>
          <w:iCs w:val="0"/>
          <w:caps w:val="0"/>
          <w:color w:val="333333"/>
          <w:spacing w:val="0"/>
          <w:sz w:val="44"/>
          <w:szCs w:val="44"/>
          <w:shd w:val="clear" w:fill="FFFFFF"/>
          <w:lang w:val="en-US" w:eastAsia="zh-CN"/>
        </w:rPr>
        <w:t>要求偏离情况说明表</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9"/>
        <w:gridCol w:w="539"/>
        <w:gridCol w:w="198"/>
        <w:gridCol w:w="655"/>
        <w:gridCol w:w="164"/>
        <w:gridCol w:w="2152"/>
        <w:gridCol w:w="2322"/>
        <w:gridCol w:w="1514"/>
        <w:gridCol w:w="5851"/>
      </w:tblGrid>
      <w:tr w14:paraId="79B5D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000" w:type="pct"/>
            <w:gridSpan w:val="9"/>
            <w:noWrap w:val="0"/>
            <w:vAlign w:val="center"/>
          </w:tcPr>
          <w:p w14:paraId="28F32877">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一、采购清单</w:t>
            </w:r>
          </w:p>
        </w:tc>
      </w:tr>
      <w:tr w14:paraId="5FEB5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75" w:type="pct"/>
            <w:shd w:val="clear" w:color="auto" w:fill="auto"/>
            <w:noWrap w:val="0"/>
            <w:vAlign w:val="center"/>
          </w:tcPr>
          <w:p w14:paraId="6660D55E">
            <w:pPr>
              <w:keepNext w:val="0"/>
              <w:keepLines w:val="0"/>
              <w:pageBreakBefore w:val="0"/>
              <w:widowControl w:val="0"/>
              <w:tabs>
                <w:tab w:val="left" w:pos="180"/>
                <w:tab w:val="left" w:pos="1620"/>
              </w:tabs>
              <w:kinsoku/>
              <w:wordWrap/>
              <w:overflowPunct/>
              <w:topLinePunct w:val="0"/>
              <w:bidi w:val="0"/>
              <w:adjustRightIn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260" w:type="pct"/>
            <w:gridSpan w:val="2"/>
            <w:shd w:val="clear" w:color="auto" w:fill="auto"/>
            <w:noWrap w:val="0"/>
            <w:vAlign w:val="center"/>
          </w:tcPr>
          <w:p w14:paraId="5C17EE68">
            <w:pPr>
              <w:keepNext w:val="0"/>
              <w:keepLines w:val="0"/>
              <w:pageBreakBefore w:val="0"/>
              <w:widowControl w:val="0"/>
              <w:tabs>
                <w:tab w:val="left" w:pos="180"/>
                <w:tab w:val="left" w:pos="1620"/>
              </w:tabs>
              <w:kinsoku/>
              <w:wordWrap/>
              <w:overflowPunct/>
              <w:topLinePunct w:val="0"/>
              <w:bidi w:val="0"/>
              <w:adjustRightIn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项目名称</w:t>
            </w:r>
          </w:p>
        </w:tc>
        <w:tc>
          <w:tcPr>
            <w:tcW w:w="231" w:type="pct"/>
            <w:shd w:val="clear" w:color="auto" w:fill="auto"/>
            <w:noWrap w:val="0"/>
            <w:vAlign w:val="center"/>
          </w:tcPr>
          <w:p w14:paraId="50F19FF3">
            <w:pPr>
              <w:keepNext w:val="0"/>
              <w:keepLines w:val="0"/>
              <w:pageBreakBefore w:val="0"/>
              <w:widowControl w:val="0"/>
              <w:tabs>
                <w:tab w:val="left" w:pos="180"/>
                <w:tab w:val="left" w:pos="1620"/>
              </w:tabs>
              <w:kinsoku/>
              <w:wordWrap/>
              <w:overflowPunct/>
              <w:topLinePunct w:val="0"/>
              <w:bidi w:val="0"/>
              <w:adjustRightInd/>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数量及</w:t>
            </w:r>
          </w:p>
          <w:p w14:paraId="6AAB61EE">
            <w:pPr>
              <w:keepNext w:val="0"/>
              <w:keepLines w:val="0"/>
              <w:pageBreakBefore w:val="0"/>
              <w:widowControl w:val="0"/>
              <w:tabs>
                <w:tab w:val="left" w:pos="180"/>
                <w:tab w:val="left" w:pos="1620"/>
              </w:tabs>
              <w:kinsoku/>
              <w:wordWrap/>
              <w:overflowPunct/>
              <w:topLinePunct w:val="0"/>
              <w:bidi w:val="0"/>
              <w:adjustRightIn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单位</w:t>
            </w:r>
          </w:p>
        </w:tc>
        <w:tc>
          <w:tcPr>
            <w:tcW w:w="2169" w:type="pct"/>
            <w:gridSpan w:val="4"/>
            <w:shd w:val="clear" w:color="auto" w:fill="auto"/>
            <w:noWrap w:val="0"/>
            <w:vAlign w:val="center"/>
          </w:tcPr>
          <w:p w14:paraId="4C7BD474">
            <w:pPr>
              <w:keepNext w:val="0"/>
              <w:keepLines w:val="0"/>
              <w:pageBreakBefore w:val="0"/>
              <w:widowControl w:val="0"/>
              <w:tabs>
                <w:tab w:val="left" w:pos="180"/>
                <w:tab w:val="left" w:pos="1620"/>
              </w:tabs>
              <w:kinsoku/>
              <w:wordWrap/>
              <w:overflowPunct/>
              <w:topLinePunct w:val="0"/>
              <w:bidi w:val="0"/>
              <w:adjustRightInd/>
              <w:spacing w:line="38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▲技术要求</w:t>
            </w:r>
          </w:p>
        </w:tc>
        <w:tc>
          <w:tcPr>
            <w:tcW w:w="2063" w:type="pct"/>
            <w:shd w:val="clear" w:color="auto" w:fill="auto"/>
            <w:noWrap w:val="0"/>
            <w:vAlign w:val="center"/>
          </w:tcPr>
          <w:p w14:paraId="58CC03E5">
            <w:pPr>
              <w:keepNext w:val="0"/>
              <w:keepLines w:val="0"/>
              <w:pageBreakBefore w:val="0"/>
              <w:widowControl w:val="0"/>
              <w:tabs>
                <w:tab w:val="left" w:pos="180"/>
                <w:tab w:val="left" w:pos="1620"/>
              </w:tabs>
              <w:kinsoku/>
              <w:wordWrap/>
              <w:overflowPunct/>
              <w:topLinePunct w:val="0"/>
              <w:bidi w:val="0"/>
              <w:adjustRightInd/>
              <w:spacing w:line="38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偏离情况说明表</w:t>
            </w:r>
          </w:p>
        </w:tc>
      </w:tr>
      <w:tr w14:paraId="12D1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75" w:type="pct"/>
            <w:noWrap w:val="0"/>
            <w:vAlign w:val="center"/>
          </w:tcPr>
          <w:p w14:paraId="571B970F">
            <w:pPr>
              <w:keepNext w:val="0"/>
              <w:keepLines w:val="0"/>
              <w:pageBreakBefore w:val="0"/>
              <w:widowControl w:val="0"/>
              <w:tabs>
                <w:tab w:val="left" w:pos="180"/>
                <w:tab w:val="left" w:pos="1620"/>
              </w:tabs>
              <w:kinsoku/>
              <w:wordWrap/>
              <w:overflowPunct/>
              <w:topLinePunct w:val="0"/>
              <w:bidi w:val="0"/>
              <w:adjustRightInd/>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0" w:type="pct"/>
            <w:gridSpan w:val="2"/>
            <w:noWrap w:val="0"/>
            <w:vAlign w:val="center"/>
          </w:tcPr>
          <w:p w14:paraId="67BEE979">
            <w:pPr>
              <w:keepNext w:val="0"/>
              <w:keepLines w:val="0"/>
              <w:pageBreakBefore w:val="0"/>
              <w:widowControl w:val="0"/>
              <w:tabs>
                <w:tab w:val="left" w:pos="180"/>
                <w:tab w:val="left" w:pos="1620"/>
              </w:tabs>
              <w:kinsoku/>
              <w:wordWrap/>
              <w:overflowPunct/>
              <w:topLinePunct w:val="0"/>
              <w:bidi w:val="0"/>
              <w:adjustRightInd/>
              <w:spacing w:line="380" w:lineRule="exact"/>
              <w:jc w:val="center"/>
              <w:rPr>
                <w:rFonts w:hint="eastAsia" w:ascii="宋体" w:hAnsi="宋体" w:eastAsia="宋体" w:cs="宋体"/>
                <w:color w:val="auto"/>
                <w:sz w:val="21"/>
                <w:szCs w:val="21"/>
              </w:rPr>
            </w:pPr>
            <w:r>
              <w:rPr>
                <w:rFonts w:hint="eastAsia" w:ascii="微软雅黑" w:hAnsi="微软雅黑" w:eastAsia="微软雅黑"/>
                <w:color w:val="auto"/>
                <w:szCs w:val="21"/>
                <w:lang w:val="en-US" w:eastAsia="zh-CN"/>
              </w:rPr>
              <w:t>遴选</w:t>
            </w:r>
            <w:r>
              <w:rPr>
                <w:rFonts w:hint="eastAsia" w:ascii="宋体" w:hAnsi="宋体" w:eastAsia="宋体" w:cs="宋体"/>
                <w:color w:val="auto"/>
                <w:sz w:val="21"/>
                <w:szCs w:val="21"/>
                <w:lang w:val="en-US" w:eastAsia="zh-CN"/>
              </w:rPr>
              <w:t>中药饮片配送服务供应商</w:t>
            </w:r>
          </w:p>
        </w:tc>
        <w:tc>
          <w:tcPr>
            <w:tcW w:w="231" w:type="pct"/>
            <w:noWrap w:val="0"/>
            <w:vAlign w:val="center"/>
          </w:tcPr>
          <w:p w14:paraId="56095E01">
            <w:pPr>
              <w:keepNext w:val="0"/>
              <w:keepLines w:val="0"/>
              <w:pageBreakBefore w:val="0"/>
              <w:widowControl w:val="0"/>
              <w:tabs>
                <w:tab w:val="left" w:pos="180"/>
                <w:tab w:val="left" w:pos="1620"/>
              </w:tabs>
              <w:kinsoku/>
              <w:wordWrap/>
              <w:overflowPunct/>
              <w:topLinePunct w:val="0"/>
              <w:bidi w:val="0"/>
              <w:adjustRightInd/>
              <w:spacing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1项</w:t>
            </w:r>
          </w:p>
        </w:tc>
        <w:tc>
          <w:tcPr>
            <w:tcW w:w="2169" w:type="pct"/>
            <w:gridSpan w:val="4"/>
            <w:noWrap w:val="0"/>
            <w:vAlign w:val="center"/>
          </w:tcPr>
          <w:p w14:paraId="4C5121D8">
            <w:pPr>
              <w:keepNext w:val="0"/>
              <w:keepLines w:val="0"/>
              <w:pageBreakBefore w:val="0"/>
              <w:widowControl w:val="0"/>
              <w:tabs>
                <w:tab w:val="left" w:pos="180"/>
                <w:tab w:val="left" w:pos="1620"/>
              </w:tabs>
              <w:kinsoku/>
              <w:wordWrap/>
              <w:overflowPunct/>
              <w:topLinePunct w:val="0"/>
              <w:bidi w:val="0"/>
              <w:adjustRightInd/>
              <w:spacing w:line="38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一、服务范围：</w:t>
            </w:r>
          </w:p>
          <w:p w14:paraId="141E991C">
            <w:pPr>
              <w:keepNext w:val="0"/>
              <w:keepLines w:val="0"/>
              <w:pageBreakBefore w:val="0"/>
              <w:widowControl w:val="0"/>
              <w:tabs>
                <w:tab w:val="left" w:pos="180"/>
                <w:tab w:val="left" w:pos="1620"/>
              </w:tabs>
              <w:kinsoku/>
              <w:wordWrap/>
              <w:overflowPunct/>
              <w:topLinePunct w:val="0"/>
              <w:bidi w:val="0"/>
              <w:adjustRightInd/>
              <w:spacing w:line="38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为满足临床患者对中药饮片质量的不同需求，拟采购一名服务商提供中药饮片及相关服务，</w:t>
            </w:r>
            <w:r>
              <w:rPr>
                <w:rFonts w:hint="eastAsia" w:ascii="宋体" w:hAnsi="宋体" w:eastAsia="宋体" w:cs="宋体"/>
                <w:bCs/>
                <w:color w:val="auto"/>
                <w:sz w:val="21"/>
                <w:szCs w:val="21"/>
                <w:lang w:val="en-US" w:eastAsia="zh-CN"/>
              </w:rPr>
              <w:t>本次</w:t>
            </w:r>
            <w:r>
              <w:rPr>
                <w:rFonts w:hint="eastAsia" w:ascii="宋体" w:hAnsi="宋体" w:eastAsia="宋体" w:cs="宋体"/>
                <w:bCs/>
                <w:color w:val="auto"/>
                <w:sz w:val="21"/>
                <w:szCs w:val="21"/>
              </w:rPr>
              <w:t>所指中药饮片不包括中药配方颗粒。</w:t>
            </w:r>
          </w:p>
          <w:p w14:paraId="72E138D6">
            <w:pPr>
              <w:keepNext w:val="0"/>
              <w:keepLines w:val="0"/>
              <w:pageBreakBefore w:val="0"/>
              <w:widowControl w:val="0"/>
              <w:tabs>
                <w:tab w:val="left" w:pos="180"/>
                <w:tab w:val="left" w:pos="1620"/>
              </w:tabs>
              <w:kinsoku/>
              <w:wordWrap/>
              <w:overflowPunct/>
              <w:topLinePunct w:val="0"/>
              <w:bidi w:val="0"/>
              <w:adjustRightInd/>
              <w:spacing w:line="38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二、服务要求：</w:t>
            </w:r>
          </w:p>
          <w:p w14:paraId="398DBB82">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rPr>
              <w:t>1、</w:t>
            </w:r>
            <w:r>
              <w:rPr>
                <w:rFonts w:hint="eastAsia" w:ascii="宋体" w:hAnsi="宋体" w:eastAsia="宋体" w:cs="宋体"/>
                <w:color w:val="auto"/>
                <w:sz w:val="21"/>
                <w:szCs w:val="21"/>
                <w:highlight w:val="none"/>
              </w:rPr>
              <w:t>必须保证所提供的</w:t>
            </w:r>
            <w:r>
              <w:rPr>
                <w:rFonts w:hint="eastAsia" w:ascii="宋体" w:hAnsi="宋体" w:eastAsia="宋体" w:cs="宋体"/>
                <w:color w:val="auto"/>
                <w:sz w:val="21"/>
                <w:szCs w:val="21"/>
                <w:highlight w:val="none"/>
                <w:lang w:eastAsia="zh-CN"/>
              </w:rPr>
              <w:t>中药饮片基源及性状、加工炮制与《中华人民共和国药典》或部颁标准、地方标准及相关国家法律、法规的各项要求符合，二氧化硫、重金属及有害元素或有机氯农药残留量等低于《中华人民共和国药典》及各省中药材标准和炮制规范的要求。如果在采购期间内国家颁布执行新的法定标准，则按照新标准执行。</w:t>
            </w:r>
          </w:p>
          <w:p w14:paraId="07F9220F">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2、在服务期限内保证药品质量、执行国家物价，按约定的药品品种、剂型、规格、数量、价格、供货方式等供货，并结合医院</w:t>
            </w:r>
            <w:r>
              <w:rPr>
                <w:rFonts w:hint="eastAsia" w:ascii="宋体" w:hAnsi="宋体" w:cs="宋体"/>
                <w:color w:val="auto"/>
                <w:sz w:val="21"/>
                <w:szCs w:val="21"/>
                <w:highlight w:val="none"/>
                <w:lang w:val="en-US" w:eastAsia="zh-CN"/>
              </w:rPr>
              <w:t>实际采购情况及时送货</w:t>
            </w:r>
            <w:r>
              <w:rPr>
                <w:rFonts w:hint="eastAsia" w:ascii="宋体" w:hAnsi="宋体" w:eastAsia="宋体" w:cs="宋体"/>
                <w:color w:val="auto"/>
                <w:sz w:val="21"/>
                <w:szCs w:val="21"/>
                <w:highlight w:val="none"/>
                <w:lang w:eastAsia="zh-CN"/>
              </w:rPr>
              <w:t>，保证临床用药不断档，</w:t>
            </w:r>
            <w:r>
              <w:rPr>
                <w:rFonts w:hint="eastAsia" w:ascii="宋体" w:hAnsi="宋体" w:eastAsia="宋体" w:cs="宋体"/>
                <w:color w:val="auto"/>
                <w:sz w:val="21"/>
                <w:szCs w:val="21"/>
                <w:highlight w:val="none"/>
                <w:lang w:val="en-US" w:eastAsia="zh-CN"/>
              </w:rPr>
              <w:t>结算以院方实际</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为准。</w:t>
            </w:r>
          </w:p>
          <w:p w14:paraId="52EFA889">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3、生产或经营的小包装中药饮片规格和色标应符合《国家中医药管理局办公室关于印发小包装中药饮片规格和色标的通知》(国中医药办医政发[2011]18 号)的要求。</w:t>
            </w:r>
          </w:p>
          <w:p w14:paraId="75D47041">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中标后中标供应商必须遵守的规定：</w:t>
            </w:r>
          </w:p>
          <w:p w14:paraId="21C3C129">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（1）中标品种一旦确定，不得以任何借口（如无货，采购量少等）不执行医院药品需求计划，不得无故不予配送，不配送及退货累计三次以上直接取消企业本轮配送资格。</w:t>
            </w:r>
          </w:p>
          <w:p w14:paraId="313A80C2">
            <w:pPr>
              <w:pStyle w:val="3"/>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color w:val="auto"/>
                <w:sz w:val="21"/>
                <w:szCs w:val="21"/>
                <w:highlight w:val="none"/>
                <w:lang w:val="en-US" w:eastAsia="zh-CN"/>
              </w:rPr>
              <w:t>所提供的中药饮片到货日期不能超过生产日期2年，草类、花类饮片到货日期不能超过生产日期1年。</w:t>
            </w:r>
          </w:p>
          <w:p w14:paraId="2CEEAC43">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中标供应商在指定的时间（36小时内，最迟不超过72小时内)和地点交付产地、质量、包装、有效期等均符合条件的药品，且产品外包装标签上必须标示有品名、规格、产地、等级、生产企业、产品批号、生产日期并附质量合格标志。逾期视为一次不配送，药品出库单须与药品同行并附上成品检验报告单，否则不予验收。</w:t>
            </w:r>
          </w:p>
          <w:p w14:paraId="2C392A28">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由采购人对货物或服务的质量、规格和数量及其他进行检验。验收不合格时，中标供应商必须在采购人指定的时间内无条件更换，由此造成的损失和责任由中标供应商承担。更换后，采购人对所更换的货物进行检验，检验仍不合格将取消中标供应商中标资格。</w:t>
            </w:r>
          </w:p>
          <w:p w14:paraId="1F57D981">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）当医药公司同一中药饮片有多个产地中药饮片可供时，原则上供应道地药材。</w:t>
            </w:r>
          </w:p>
          <w:p w14:paraId="4F6C2CB9">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）若遇国家重大政策调整影响集中配送合同执行的情况，按国家有关政策规定执行，双方应共同友好协商解决。</w:t>
            </w:r>
          </w:p>
          <w:p w14:paraId="434AD005">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）中标</w:t>
            </w:r>
            <w:r>
              <w:rPr>
                <w:rFonts w:hint="eastAsia" w:ascii="宋体" w:hAnsi="宋体" w:eastAsia="宋体" w:cs="宋体"/>
                <w:bCs/>
                <w:color w:val="auto"/>
                <w:kern w:val="2"/>
                <w:sz w:val="21"/>
                <w:szCs w:val="21"/>
                <w:lang w:val="en-US" w:eastAsia="zh-CN" w:bidi="ar-SA"/>
              </w:rPr>
              <w:t>供应商</w:t>
            </w:r>
            <w:r>
              <w:rPr>
                <w:rFonts w:hint="eastAsia" w:ascii="宋体" w:hAnsi="宋体" w:eastAsia="宋体" w:cs="宋体"/>
                <w:bCs/>
                <w:color w:val="auto"/>
                <w:sz w:val="21"/>
                <w:szCs w:val="21"/>
              </w:rPr>
              <w:t>利用现代医药物流信息技术和相关设施设备为甲方提供物流配送、药房管理及相关增值服务，保障医院饮片供应，提高药房管理水平的整体服务和解决方案，与中药饮片相配套的调剂设备所产生的相关费用由中标人负责。</w:t>
            </w:r>
          </w:p>
          <w:p w14:paraId="04111527">
            <w:pPr>
              <w:pStyle w:val="3"/>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kern w:val="2"/>
                <w:sz w:val="21"/>
                <w:szCs w:val="21"/>
                <w:lang w:val="en-US" w:eastAsia="zh-CN" w:bidi="ar-SA"/>
              </w:rPr>
              <w:t>8）对于滞销未使用的中药饮片，公司应该无条件配合给予退货。</w:t>
            </w:r>
          </w:p>
          <w:p w14:paraId="1F09D95A">
            <w:pPr>
              <w:pStyle w:val="3"/>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5、中标供应商提供中药打粉、中药饮片代煎煮及配送服务。</w:t>
            </w:r>
          </w:p>
          <w:p w14:paraId="2E60E541">
            <w:pPr>
              <w:pStyle w:val="3"/>
              <w:keepNext w:val="0"/>
              <w:keepLines w:val="0"/>
              <w:pageBreakBefore w:val="0"/>
              <w:widowControl w:val="0"/>
              <w:kinsoku/>
              <w:wordWrap/>
              <w:overflowPunct/>
              <w:topLinePunct w:val="0"/>
              <w:bidi w:val="0"/>
              <w:adjustRightInd/>
              <w:snapToGrid w:val="0"/>
              <w:spacing w:line="380" w:lineRule="exact"/>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2"/>
                <w:sz w:val="21"/>
                <w:szCs w:val="21"/>
                <w:lang w:val="en-US" w:eastAsia="zh-CN" w:bidi="ar-SA"/>
              </w:rPr>
              <w:t>（</w:t>
            </w:r>
            <w:r>
              <w:rPr>
                <w:rFonts w:hint="eastAsia" w:ascii="宋体" w:hAnsi="宋体" w:eastAsia="宋体" w:cs="宋体"/>
                <w:bCs/>
                <w:color w:val="auto"/>
                <w:kern w:val="2"/>
                <w:sz w:val="21"/>
                <w:szCs w:val="21"/>
                <w:lang w:val="en-US" w:eastAsia="zh-CN" w:bidi="ar-SA"/>
              </w:rPr>
              <w:t>1）中标供应商在本地设有专门的代煎中心或承诺中标公示后60天内能在本地建成并中医药管理局验收的代煎中心。</w:t>
            </w:r>
          </w:p>
          <w:p w14:paraId="19E8839A">
            <w:pPr>
              <w:pStyle w:val="3"/>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w:t>
            </w:r>
            <w:r>
              <w:rPr>
                <w:rFonts w:hint="eastAsia" w:ascii="宋体" w:hAnsi="宋体" w:cs="宋体"/>
                <w:bCs/>
                <w:color w:val="auto"/>
                <w:kern w:val="2"/>
                <w:sz w:val="21"/>
                <w:szCs w:val="21"/>
                <w:lang w:val="en-US" w:eastAsia="zh-CN" w:bidi="ar-SA"/>
              </w:rPr>
              <w:t>2</w:t>
            </w:r>
            <w:r>
              <w:rPr>
                <w:rFonts w:hint="eastAsia" w:ascii="宋体" w:hAnsi="宋体" w:eastAsia="宋体" w:cs="宋体"/>
                <w:bCs/>
                <w:color w:val="auto"/>
                <w:kern w:val="2"/>
                <w:sz w:val="21"/>
                <w:szCs w:val="21"/>
                <w:lang w:val="en-US" w:eastAsia="zh-CN" w:bidi="ar-SA"/>
              </w:rPr>
              <w:t>）中标供应商提供代煎服务的中药煎煮场所应符合《医疗机构中药煎药室管理规范》等国家相关法律法规要求.中标供应商应按国家卫生健康委、国家中医药管理局等有关标准和质量要求进行煎煮服务，所使用的场地、设备、包装材料和环境卫生及煎药人员资质等都应符合《医疗机构中药煎药室管理规范》的规定和《中药煎药机》、《中药汤剂包装机》等行业标准。中药代煎费按符合广西壮族自治区医疗保障局文件有关要求执行。</w:t>
            </w:r>
          </w:p>
          <w:p w14:paraId="325975A8">
            <w:pPr>
              <w:pStyle w:val="3"/>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w:t>
            </w:r>
            <w:r>
              <w:rPr>
                <w:rFonts w:hint="eastAsia" w:ascii="宋体" w:hAnsi="宋体" w:cs="宋体"/>
                <w:bCs/>
                <w:color w:val="auto"/>
                <w:kern w:val="2"/>
                <w:sz w:val="21"/>
                <w:szCs w:val="21"/>
                <w:lang w:val="en-US" w:eastAsia="zh-CN" w:bidi="ar-SA"/>
              </w:rPr>
              <w:t>3</w:t>
            </w:r>
            <w:r>
              <w:rPr>
                <w:rFonts w:hint="eastAsia" w:ascii="宋体" w:hAnsi="宋体" w:eastAsia="宋体" w:cs="宋体"/>
                <w:bCs/>
                <w:color w:val="auto"/>
                <w:kern w:val="2"/>
                <w:sz w:val="21"/>
                <w:szCs w:val="21"/>
                <w:lang w:val="en-US" w:eastAsia="zh-CN" w:bidi="ar-SA"/>
              </w:rPr>
              <w:t>）代煎服务时效要求：代煎药液南宁市区内:上午12:30前接收的处方当日送达(不包括特殊煎煮的处方如含:含毒性药品的处方、需要先煎1小时的于当日送达)；下午12:30- 18:00前接收的处方于次日上午送达:下午18:00后接收的处方于次日送达，确保24小时内送到患者手上。</w:t>
            </w:r>
          </w:p>
          <w:p w14:paraId="7F13BDA0">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6、中标供应商为采购人配备协助人员不少于1人，且必须为</w:t>
            </w:r>
            <w:r>
              <w:rPr>
                <w:rFonts w:hint="eastAsia" w:ascii="宋体" w:hAnsi="宋体" w:cs="宋体"/>
                <w:bCs/>
                <w:color w:val="auto"/>
                <w:sz w:val="21"/>
                <w:szCs w:val="21"/>
                <w:lang w:val="en-US" w:eastAsia="zh-CN"/>
              </w:rPr>
              <w:t>中</w:t>
            </w:r>
            <w:r>
              <w:rPr>
                <w:rFonts w:hint="eastAsia" w:ascii="宋体" w:hAnsi="宋体" w:eastAsia="宋体" w:cs="宋体"/>
                <w:bCs/>
                <w:color w:val="auto"/>
                <w:sz w:val="21"/>
                <w:szCs w:val="21"/>
                <w:lang w:val="en-US" w:eastAsia="zh-CN"/>
              </w:rPr>
              <w:t>药学类专业毕业或取得</w:t>
            </w:r>
            <w:r>
              <w:rPr>
                <w:rFonts w:hint="eastAsia" w:ascii="宋体" w:hAnsi="宋体" w:cs="宋体"/>
                <w:bCs/>
                <w:color w:val="auto"/>
                <w:sz w:val="21"/>
                <w:szCs w:val="21"/>
                <w:lang w:val="en-US" w:eastAsia="zh-CN"/>
              </w:rPr>
              <w:t>中</w:t>
            </w:r>
            <w:r>
              <w:rPr>
                <w:rFonts w:hint="eastAsia" w:ascii="宋体" w:hAnsi="宋体" w:eastAsia="宋体" w:cs="宋体"/>
                <w:bCs/>
                <w:color w:val="auto"/>
                <w:sz w:val="21"/>
                <w:szCs w:val="21"/>
                <w:lang w:val="en-US" w:eastAsia="zh-CN"/>
              </w:rPr>
              <w:t>药士以上职称（投标文件中须提供相关证明复印件）进行质量跟踪服务，工作期间遵守采购单位内部的规章制度，服从采购人的工作时间安排。根据采购人日常工作量及时间段合理安排协助人员，减少患者侯药时间。</w:t>
            </w:r>
          </w:p>
          <w:p w14:paraId="1FD63782">
            <w:pPr>
              <w:keepNext w:val="0"/>
              <w:keepLines w:val="0"/>
              <w:pageBreakBefore w:val="0"/>
              <w:widowControl w:val="0"/>
              <w:tabs>
                <w:tab w:val="left" w:pos="180"/>
                <w:tab w:val="left" w:pos="1620"/>
              </w:tabs>
              <w:kinsoku/>
              <w:wordWrap/>
              <w:overflowPunct/>
              <w:topLinePunct w:val="0"/>
              <w:bidi w:val="0"/>
              <w:adjustRightInd/>
              <w:spacing w:line="38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三、管理要求</w:t>
            </w:r>
          </w:p>
          <w:p w14:paraId="097DED47">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1、定点供应无法按质按量或不能及时供应或供应价过高时，采购人可调整采购，采购单位可选择临时外采保证临床用药需求，除供应商供应价过高的情况，外采药品高于差价部分由供应商承担。</w:t>
            </w:r>
          </w:p>
          <w:p w14:paraId="54B3CA87">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本次采购不局限于附表一目录已确定的药品，对于采购人中药饮片目录外的药品品种，采购单位有需求的，中标供应商不得拒绝供应，应积极组织调拨资源，在5个工作日内组织到货（市场上确无货源的除外），目录外的药品品种供货价格由采购人与中标供应商结合市场价格商定确定合理的单价，并按采购人实际该药品品种采购量按双方确定的单价进行结算。</w:t>
            </w:r>
          </w:p>
          <w:p w14:paraId="77A2C866">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bCs/>
                <w:color w:val="auto"/>
                <w:sz w:val="21"/>
                <w:szCs w:val="21"/>
              </w:rPr>
              <w:t>如遇国家政策调整或行政主管部门出台规定，采购人有权随时解除本项目合同，中标供应商应无条件执行。</w:t>
            </w:r>
          </w:p>
          <w:p w14:paraId="14DC86C6">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如发现质量问题，采购人可要求对中标供应商提供的货物进行抽检并送市级以上药品检测部门检测，检测所涉及的费用由中标供应商承担，投标报价中应包含检测费用。被药品检测部门抽检定为假、劣药的须无条件给予退换，并承担相关的法律责任，由此产生的相关费用由中标供应商自行负责。合同实施时，采购人不再支付任何项目费用。</w:t>
            </w:r>
          </w:p>
          <w:p w14:paraId="5B8BCFA2">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、采购单位根据中标后确定的操作流程对中标供应商的工作进行定期检查，对管理不规范的问题下达整改意见书。</w:t>
            </w:r>
          </w:p>
          <w:p w14:paraId="4A2C0B22">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、约定</w:t>
            </w:r>
            <w:r>
              <w:rPr>
                <w:rFonts w:hint="eastAsia" w:ascii="宋体" w:hAnsi="宋体" w:eastAsia="宋体" w:cs="宋体"/>
                <w:bCs/>
                <w:color w:val="auto"/>
                <w:sz w:val="21"/>
                <w:szCs w:val="21"/>
                <w:lang w:val="en-US" w:eastAsia="zh-CN"/>
              </w:rPr>
              <w:t>服务</w:t>
            </w:r>
            <w:r>
              <w:rPr>
                <w:rFonts w:hint="eastAsia" w:ascii="宋体" w:hAnsi="宋体" w:eastAsia="宋体" w:cs="宋体"/>
                <w:bCs/>
                <w:color w:val="auto"/>
                <w:sz w:val="21"/>
                <w:szCs w:val="21"/>
              </w:rPr>
              <w:t>年限</w:t>
            </w:r>
            <w:r>
              <w:rPr>
                <w:rFonts w:hint="eastAsia" w:ascii="宋体" w:hAnsi="宋体" w:eastAsia="宋体" w:cs="宋体"/>
                <w:bCs/>
                <w:color w:val="auto"/>
                <w:sz w:val="21"/>
                <w:szCs w:val="21"/>
                <w:lang w:val="en-US" w:eastAsia="zh-CN"/>
              </w:rPr>
              <w:t>终止</w:t>
            </w:r>
            <w:r>
              <w:rPr>
                <w:rFonts w:hint="eastAsia" w:ascii="宋体" w:hAnsi="宋体" w:eastAsia="宋体" w:cs="宋体"/>
                <w:bCs/>
                <w:color w:val="auto"/>
                <w:sz w:val="21"/>
                <w:szCs w:val="21"/>
              </w:rPr>
              <w:t>后，须按采购单位要求进行工作交接，保障医院顺利运转。</w:t>
            </w:r>
          </w:p>
        </w:tc>
        <w:tc>
          <w:tcPr>
            <w:tcW w:w="2063" w:type="pct"/>
            <w:noWrap w:val="0"/>
            <w:vAlign w:val="center"/>
          </w:tcPr>
          <w:p w14:paraId="5AC9229A">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lang w:val="en-US" w:eastAsia="zh-CN"/>
              </w:rPr>
            </w:pPr>
          </w:p>
        </w:tc>
      </w:tr>
      <w:tr w14:paraId="128DF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36" w:type="pct"/>
            <w:gridSpan w:val="8"/>
            <w:tcBorders>
              <w:top w:val="single" w:color="auto" w:sz="4" w:space="0"/>
              <w:left w:val="single" w:color="auto" w:sz="4" w:space="0"/>
              <w:bottom w:val="single" w:color="auto" w:sz="4" w:space="0"/>
              <w:right w:val="single" w:color="auto" w:sz="4" w:space="0"/>
            </w:tcBorders>
            <w:noWrap w:val="0"/>
            <w:vAlign w:val="top"/>
          </w:tcPr>
          <w:p w14:paraId="04C1C076">
            <w:pPr>
              <w:keepNext w:val="0"/>
              <w:keepLines w:val="0"/>
              <w:pageBreakBefore w:val="0"/>
              <w:widowControl w:val="0"/>
              <w:kinsoku/>
              <w:wordWrap/>
              <w:overflowPunct/>
              <w:topLinePunct w:val="0"/>
              <w:bidi w:val="0"/>
              <w:adjustRightInd/>
              <w:spacing w:line="380" w:lineRule="exact"/>
              <w:rPr>
                <w:rFonts w:hint="eastAsia" w:ascii="宋体" w:hAnsi="宋体" w:eastAsia="宋体" w:cs="宋体"/>
                <w:b/>
                <w:color w:val="auto"/>
                <w:sz w:val="21"/>
                <w:szCs w:val="21"/>
              </w:rPr>
            </w:pPr>
            <w:r>
              <w:rPr>
                <w:rFonts w:hint="eastAsia" w:ascii="宋体" w:hAnsi="宋体" w:eastAsia="宋体" w:cs="宋体"/>
                <w:color w:val="auto"/>
                <w:sz w:val="21"/>
                <w:szCs w:val="21"/>
              </w:rPr>
              <w:t>▲</w:t>
            </w:r>
            <w:r>
              <w:rPr>
                <w:rFonts w:hint="eastAsia" w:ascii="宋体" w:hAnsi="宋体" w:eastAsia="宋体" w:cs="宋体"/>
                <w:b/>
                <w:color w:val="auto"/>
                <w:sz w:val="21"/>
                <w:szCs w:val="21"/>
              </w:rPr>
              <w:t>二、商务要求</w:t>
            </w:r>
          </w:p>
        </w:tc>
        <w:tc>
          <w:tcPr>
            <w:tcW w:w="2063" w:type="pct"/>
            <w:tcBorders>
              <w:top w:val="single" w:color="auto" w:sz="4" w:space="0"/>
              <w:left w:val="single" w:color="auto" w:sz="4" w:space="0"/>
              <w:bottom w:val="single" w:color="auto" w:sz="4" w:space="0"/>
              <w:right w:val="single" w:color="auto" w:sz="4" w:space="0"/>
            </w:tcBorders>
            <w:noWrap w:val="0"/>
            <w:vAlign w:val="top"/>
          </w:tcPr>
          <w:p w14:paraId="774A855A">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p>
        </w:tc>
      </w:tr>
      <w:tr w14:paraId="5200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5" w:type="pct"/>
            <w:gridSpan w:val="2"/>
            <w:tcBorders>
              <w:top w:val="single" w:color="auto" w:sz="4" w:space="0"/>
              <w:left w:val="single" w:color="auto" w:sz="4" w:space="0"/>
              <w:bottom w:val="single" w:color="auto" w:sz="4" w:space="0"/>
              <w:right w:val="single" w:color="auto" w:sz="4" w:space="0"/>
            </w:tcBorders>
            <w:noWrap w:val="0"/>
            <w:vAlign w:val="center"/>
          </w:tcPr>
          <w:p w14:paraId="1FA91109">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b/>
                <w:color w:val="auto"/>
                <w:sz w:val="21"/>
                <w:szCs w:val="21"/>
              </w:rPr>
            </w:pPr>
            <w:r>
              <w:rPr>
                <w:rFonts w:hint="eastAsia" w:ascii="宋体" w:hAnsi="宋体" w:eastAsia="宋体" w:cs="宋体"/>
                <w:color w:val="auto"/>
                <w:sz w:val="21"/>
                <w:szCs w:val="21"/>
              </w:rPr>
              <w:t>服务期限、供货时间和地点（范围）</w:t>
            </w:r>
          </w:p>
        </w:tc>
        <w:tc>
          <w:tcPr>
            <w:tcW w:w="2470" w:type="pct"/>
            <w:gridSpan w:val="6"/>
            <w:tcBorders>
              <w:top w:val="single" w:color="auto" w:sz="4" w:space="0"/>
              <w:left w:val="single" w:color="auto" w:sz="4" w:space="0"/>
              <w:bottom w:val="single" w:color="auto" w:sz="4" w:space="0"/>
              <w:right w:val="single" w:color="auto" w:sz="4" w:space="0"/>
            </w:tcBorders>
            <w:noWrap w:val="0"/>
            <w:vAlign w:val="center"/>
          </w:tcPr>
          <w:p w14:paraId="7BF3EF57">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1.服务期限：自合同签订之日起3年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按实际采购金额进行结算，若 </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年内</w:t>
            </w:r>
            <w:r>
              <w:rPr>
                <w:rFonts w:hint="eastAsia" w:ascii="宋体" w:hAnsi="宋体" w:eastAsia="宋体" w:cs="宋体"/>
                <w:color w:val="auto"/>
                <w:sz w:val="21"/>
                <w:szCs w:val="21"/>
                <w:lang w:val="en-US" w:eastAsia="zh-CN"/>
              </w:rPr>
              <w:t>中药饮片</w:t>
            </w:r>
            <w:r>
              <w:rPr>
                <w:rFonts w:hint="eastAsia" w:ascii="宋体" w:hAnsi="宋体" w:eastAsia="宋体" w:cs="宋体"/>
                <w:color w:val="auto"/>
                <w:sz w:val="21"/>
                <w:szCs w:val="21"/>
              </w:rPr>
              <w:t>供应金额达到合同总金额的100%则终止合同。</w:t>
            </w:r>
          </w:p>
          <w:p w14:paraId="133C4F97">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2.供货时间：按采购人订单供货。中标供应商在指定的时间（36小时内，最迟不超过72小时内)和地点交付产地、质量、包装、有效期等均符合条件的药品，且产品外包装标签上必须标示有品名、规格、产地、等级、生产企业、产品批号、生产日期并附质量合格标志。逾期视为一次不配送，药品出库单须与药品同行并附上成品检验报告单，采购人根据饮片验收时的质量状况是否收货或者退货。</w:t>
            </w:r>
          </w:p>
          <w:p w14:paraId="1602E768">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2.供货地点（范围）：南宁市青秀区</w:t>
            </w:r>
            <w:r>
              <w:rPr>
                <w:rFonts w:hint="eastAsia" w:ascii="宋体" w:hAnsi="宋体" w:eastAsia="宋体" w:cs="宋体"/>
                <w:color w:val="auto"/>
                <w:sz w:val="21"/>
                <w:szCs w:val="21"/>
                <w:lang w:val="en-US" w:eastAsia="zh-CN"/>
              </w:rPr>
              <w:t>龙源路</w:t>
            </w:r>
            <w:r>
              <w:rPr>
                <w:rFonts w:hint="eastAsia" w:ascii="宋体" w:hAnsi="宋体" w:eastAsia="宋体" w:cs="宋体"/>
                <w:color w:val="auto"/>
                <w:sz w:val="21"/>
                <w:szCs w:val="21"/>
              </w:rPr>
              <w:t>3号</w:t>
            </w:r>
            <w:r>
              <w:rPr>
                <w:rFonts w:hint="eastAsia" w:ascii="宋体" w:hAnsi="宋体" w:eastAsia="宋体" w:cs="宋体"/>
                <w:color w:val="auto"/>
                <w:sz w:val="21"/>
                <w:szCs w:val="21"/>
                <w:lang w:val="en-US" w:eastAsia="zh-CN"/>
              </w:rPr>
              <w:t>广西壮族自治区生殖医院</w:t>
            </w:r>
            <w:r>
              <w:rPr>
                <w:rFonts w:hint="eastAsia" w:ascii="宋体" w:hAnsi="宋体" w:eastAsia="宋体" w:cs="宋体"/>
                <w:color w:val="auto"/>
                <w:sz w:val="21"/>
                <w:szCs w:val="21"/>
              </w:rPr>
              <w:t>采购人指定的地点。</w:t>
            </w:r>
          </w:p>
        </w:tc>
        <w:tc>
          <w:tcPr>
            <w:tcW w:w="2063" w:type="pct"/>
            <w:tcBorders>
              <w:top w:val="single" w:color="auto" w:sz="4" w:space="0"/>
              <w:left w:val="single" w:color="auto" w:sz="4" w:space="0"/>
              <w:bottom w:val="single" w:color="auto" w:sz="4" w:space="0"/>
              <w:right w:val="single" w:color="auto" w:sz="4" w:space="0"/>
            </w:tcBorders>
            <w:noWrap w:val="0"/>
            <w:vAlign w:val="center"/>
          </w:tcPr>
          <w:p w14:paraId="3C4A1798">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p>
        </w:tc>
      </w:tr>
      <w:tr w14:paraId="25DB8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5" w:type="pct"/>
            <w:gridSpan w:val="2"/>
            <w:tcBorders>
              <w:top w:val="single" w:color="auto" w:sz="4" w:space="0"/>
              <w:left w:val="single" w:color="auto" w:sz="4" w:space="0"/>
              <w:bottom w:val="single" w:color="auto" w:sz="4" w:space="0"/>
              <w:right w:val="single" w:color="auto" w:sz="4" w:space="0"/>
            </w:tcBorders>
            <w:noWrap w:val="0"/>
            <w:vAlign w:val="center"/>
          </w:tcPr>
          <w:p w14:paraId="18B4346E">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合同签订时间</w:t>
            </w:r>
          </w:p>
        </w:tc>
        <w:tc>
          <w:tcPr>
            <w:tcW w:w="2470" w:type="pct"/>
            <w:gridSpan w:val="6"/>
            <w:tcBorders>
              <w:top w:val="single" w:color="auto" w:sz="4" w:space="0"/>
              <w:left w:val="single" w:color="auto" w:sz="4" w:space="0"/>
              <w:bottom w:val="single" w:color="auto" w:sz="4" w:space="0"/>
              <w:right w:val="single" w:color="auto" w:sz="4" w:space="0"/>
            </w:tcBorders>
            <w:noWrap w:val="0"/>
            <w:vAlign w:val="center"/>
          </w:tcPr>
          <w:p w14:paraId="0313FAF8">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自中标通知书发出之日起</w:t>
            </w:r>
            <w:r>
              <w:rPr>
                <w:rFonts w:hint="eastAsia" w:ascii="宋体" w:hAnsi="宋体" w:eastAsia="宋体" w:cs="宋体"/>
                <w:color w:val="auto"/>
                <w:sz w:val="21"/>
                <w:szCs w:val="21"/>
                <w:u w:val="single"/>
              </w:rPr>
              <w:t>25</w:t>
            </w:r>
            <w:r>
              <w:rPr>
                <w:rFonts w:hint="eastAsia" w:ascii="宋体" w:hAnsi="宋体" w:eastAsia="宋体" w:cs="宋体"/>
                <w:color w:val="auto"/>
                <w:sz w:val="21"/>
                <w:szCs w:val="21"/>
              </w:rPr>
              <w:t>日内</w:t>
            </w:r>
          </w:p>
        </w:tc>
        <w:tc>
          <w:tcPr>
            <w:tcW w:w="2063" w:type="pct"/>
            <w:tcBorders>
              <w:top w:val="single" w:color="auto" w:sz="4" w:space="0"/>
              <w:left w:val="single" w:color="auto" w:sz="4" w:space="0"/>
              <w:bottom w:val="single" w:color="auto" w:sz="4" w:space="0"/>
              <w:right w:val="single" w:color="auto" w:sz="4" w:space="0"/>
            </w:tcBorders>
            <w:noWrap w:val="0"/>
            <w:vAlign w:val="center"/>
          </w:tcPr>
          <w:p w14:paraId="2CCD8395">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p>
        </w:tc>
      </w:tr>
      <w:tr w14:paraId="7FB23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465" w:type="pct"/>
            <w:gridSpan w:val="2"/>
            <w:tcBorders>
              <w:top w:val="single" w:color="auto" w:sz="4" w:space="0"/>
              <w:left w:val="single" w:color="auto" w:sz="4" w:space="0"/>
              <w:bottom w:val="single" w:color="auto" w:sz="4" w:space="0"/>
              <w:right w:val="single" w:color="auto" w:sz="4" w:space="0"/>
            </w:tcBorders>
            <w:noWrap w:val="0"/>
            <w:vAlign w:val="center"/>
          </w:tcPr>
          <w:p w14:paraId="79582A9C">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付款条件</w:t>
            </w:r>
          </w:p>
        </w:tc>
        <w:tc>
          <w:tcPr>
            <w:tcW w:w="2470" w:type="pct"/>
            <w:gridSpan w:val="6"/>
            <w:tcBorders>
              <w:top w:val="single" w:color="auto" w:sz="4" w:space="0"/>
              <w:left w:val="single" w:color="auto" w:sz="4" w:space="0"/>
              <w:bottom w:val="single" w:color="auto" w:sz="4" w:space="0"/>
              <w:right w:val="single" w:color="auto" w:sz="4" w:space="0"/>
            </w:tcBorders>
            <w:noWrap w:val="0"/>
            <w:vAlign w:val="center"/>
          </w:tcPr>
          <w:p w14:paraId="78E952D4">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每批次货验收合格后，双方签订验收报告，双方根据实际验收合格的品种及数量进行结算并签署结算清单，中标供应商根据结算清单开具等额发票给采购人，采购</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自收到货物及发票之日起付款时间最长不得超过</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日。</w:t>
            </w:r>
          </w:p>
        </w:tc>
        <w:tc>
          <w:tcPr>
            <w:tcW w:w="2063" w:type="pct"/>
            <w:tcBorders>
              <w:top w:val="single" w:color="auto" w:sz="4" w:space="0"/>
              <w:left w:val="single" w:color="auto" w:sz="4" w:space="0"/>
              <w:bottom w:val="single" w:color="auto" w:sz="4" w:space="0"/>
              <w:right w:val="single" w:color="auto" w:sz="4" w:space="0"/>
            </w:tcBorders>
            <w:noWrap w:val="0"/>
            <w:vAlign w:val="center"/>
          </w:tcPr>
          <w:p w14:paraId="43A6FD8C">
            <w:pPr>
              <w:pStyle w:val="3"/>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p>
        </w:tc>
      </w:tr>
      <w:tr w14:paraId="7C9B9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5" w:type="pct"/>
            <w:gridSpan w:val="2"/>
            <w:tcBorders>
              <w:top w:val="single" w:color="auto" w:sz="4" w:space="0"/>
              <w:left w:val="single" w:color="auto" w:sz="4" w:space="0"/>
              <w:bottom w:val="single" w:color="auto" w:sz="4" w:space="0"/>
              <w:right w:val="single" w:color="auto" w:sz="4" w:space="0"/>
            </w:tcBorders>
            <w:noWrap w:val="0"/>
            <w:vAlign w:val="center"/>
          </w:tcPr>
          <w:p w14:paraId="3419331F">
            <w:pPr>
              <w:keepNext w:val="0"/>
              <w:keepLines w:val="0"/>
              <w:pageBreakBefore w:val="0"/>
              <w:widowControl w:val="0"/>
              <w:kinsoku/>
              <w:wordWrap/>
              <w:overflowPunct/>
              <w:topLinePunct w:val="0"/>
              <w:bidi w:val="0"/>
              <w:adjustRightInd/>
              <w:snapToGrid w:val="0"/>
              <w:spacing w:line="380" w:lineRule="exact"/>
              <w:jc w:val="left"/>
              <w:rPr>
                <w:rFonts w:hint="eastAsia" w:ascii="宋体" w:hAnsi="宋体" w:eastAsia="宋体" w:cs="宋体"/>
                <w:b/>
                <w:color w:val="auto"/>
                <w:sz w:val="21"/>
                <w:szCs w:val="21"/>
              </w:rPr>
            </w:pPr>
            <w:r>
              <w:rPr>
                <w:rFonts w:hint="eastAsia" w:ascii="宋体" w:hAnsi="宋体" w:eastAsia="宋体" w:cs="宋体"/>
                <w:color w:val="auto"/>
                <w:kern w:val="0"/>
                <w:sz w:val="21"/>
                <w:szCs w:val="21"/>
              </w:rPr>
              <w:t>履约保证金</w:t>
            </w:r>
          </w:p>
        </w:tc>
        <w:tc>
          <w:tcPr>
            <w:tcW w:w="2470" w:type="pct"/>
            <w:gridSpan w:val="6"/>
            <w:tcBorders>
              <w:top w:val="single" w:color="auto" w:sz="4" w:space="0"/>
              <w:left w:val="single" w:color="auto" w:sz="4" w:space="0"/>
              <w:bottom w:val="single" w:color="auto" w:sz="4" w:space="0"/>
              <w:right w:val="single" w:color="auto" w:sz="4" w:space="0"/>
            </w:tcBorders>
            <w:noWrap w:val="0"/>
            <w:vAlign w:val="center"/>
          </w:tcPr>
          <w:p w14:paraId="7D5D4E5A">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履约保证金金额：按暂定合同金额（三年采购预算）的5%（如中标供应商为中小微企业，按2%）</w:t>
            </w:r>
          </w:p>
          <w:p w14:paraId="38A5DC4C">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备注：在签订合同之前，中标供应商需把履约保证金足额交到采购人指定账户。履约保证金自项目验收合格后，待中标供应商履行完合同义务且无违约情况下，由中标供应商提出书面申请后，采购人无息退还。本合同履行过程中，中标供应商存在违约的，采购人有权从履约保证金中先行扣除按本合同约定中标供应商应付款项，不足部分由中标供应商另行支付，采购人直接从履约保证金中扣除按本合同约定中标供应商应付款项的，中标供应商应于接到采购人补足履约保证金通知之日起3个工作日内补足。</w:t>
            </w:r>
          </w:p>
        </w:tc>
        <w:tc>
          <w:tcPr>
            <w:tcW w:w="2063" w:type="pct"/>
            <w:tcBorders>
              <w:top w:val="single" w:color="auto" w:sz="4" w:space="0"/>
              <w:left w:val="single" w:color="auto" w:sz="4" w:space="0"/>
              <w:bottom w:val="single" w:color="auto" w:sz="4" w:space="0"/>
              <w:right w:val="single" w:color="auto" w:sz="4" w:space="0"/>
            </w:tcBorders>
            <w:noWrap w:val="0"/>
            <w:vAlign w:val="center"/>
          </w:tcPr>
          <w:p w14:paraId="79646DC1">
            <w:pPr>
              <w:keepNext w:val="0"/>
              <w:keepLines w:val="0"/>
              <w:pageBreakBefore w:val="0"/>
              <w:widowControl w:val="0"/>
              <w:kinsoku/>
              <w:wordWrap/>
              <w:overflowPunct/>
              <w:topLinePunct w:val="0"/>
              <w:bidi w:val="0"/>
              <w:adjustRightInd/>
              <w:snapToGrid w:val="0"/>
              <w:spacing w:line="380" w:lineRule="exact"/>
              <w:rPr>
                <w:rFonts w:hint="eastAsia" w:ascii="宋体" w:hAnsi="宋体" w:eastAsia="宋体" w:cs="宋体"/>
                <w:color w:val="auto"/>
                <w:sz w:val="21"/>
                <w:szCs w:val="21"/>
              </w:rPr>
            </w:pPr>
          </w:p>
        </w:tc>
      </w:tr>
      <w:tr w14:paraId="49FCB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5" w:type="pct"/>
            <w:gridSpan w:val="2"/>
            <w:tcBorders>
              <w:top w:val="single" w:color="auto" w:sz="4" w:space="0"/>
              <w:left w:val="single" w:color="auto" w:sz="4" w:space="0"/>
              <w:bottom w:val="single" w:color="auto" w:sz="4" w:space="0"/>
              <w:right w:val="single" w:color="auto" w:sz="4" w:space="0"/>
            </w:tcBorders>
            <w:noWrap w:val="0"/>
            <w:vAlign w:val="center"/>
          </w:tcPr>
          <w:p w14:paraId="350BF97B">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b/>
                <w:color w:val="auto"/>
                <w:sz w:val="21"/>
                <w:szCs w:val="21"/>
              </w:rPr>
            </w:pPr>
            <w:r>
              <w:rPr>
                <w:rFonts w:hint="eastAsia" w:ascii="宋体" w:hAnsi="宋体" w:eastAsia="宋体" w:cs="宋体"/>
                <w:color w:val="auto"/>
                <w:sz w:val="21"/>
                <w:szCs w:val="21"/>
              </w:rPr>
              <w:t>售后服务要求</w:t>
            </w:r>
          </w:p>
        </w:tc>
        <w:tc>
          <w:tcPr>
            <w:tcW w:w="2470" w:type="pct"/>
            <w:gridSpan w:val="6"/>
            <w:tcBorders>
              <w:top w:val="single" w:color="auto" w:sz="4" w:space="0"/>
              <w:left w:val="single" w:color="auto" w:sz="4" w:space="0"/>
              <w:bottom w:val="single" w:color="auto" w:sz="4" w:space="0"/>
              <w:right w:val="single" w:color="auto" w:sz="4" w:space="0"/>
            </w:tcBorders>
            <w:noWrap w:val="0"/>
            <w:vAlign w:val="center"/>
          </w:tcPr>
          <w:p w14:paraId="671F2943">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1、由中标供应商送货上门，由此产生的一切费用由中标供应商负责，报价时投标人应当考虑相关费用；</w:t>
            </w:r>
          </w:p>
          <w:p w14:paraId="1786FA2A">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2、安排至少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名固定人员在采购单位进行质量跟踪服务</w:t>
            </w:r>
            <w:r>
              <w:rPr>
                <w:rFonts w:hint="eastAsia" w:ascii="宋体" w:hAnsi="宋体" w:cs="宋体"/>
                <w:color w:val="auto"/>
                <w:sz w:val="21"/>
                <w:szCs w:val="21"/>
                <w:lang w:eastAsia="zh-CN"/>
              </w:rPr>
              <w:t>，</w:t>
            </w:r>
            <w:r>
              <w:rPr>
                <w:rFonts w:hint="eastAsia" w:ascii="宋体" w:hAnsi="宋体" w:cs="宋体"/>
                <w:color w:val="auto"/>
                <w:szCs w:val="21"/>
                <w:highlight w:val="none"/>
              </w:rPr>
              <w:t>协助药品上架</w:t>
            </w:r>
            <w:r>
              <w:rPr>
                <w:rFonts w:hint="eastAsia" w:ascii="宋体" w:hAnsi="宋体" w:cs="宋体"/>
                <w:color w:val="auto"/>
                <w:szCs w:val="21"/>
                <w:highlight w:val="none"/>
                <w:lang w:val="en-US" w:eastAsia="zh-CN"/>
              </w:rPr>
              <w:t>等服务</w:t>
            </w:r>
            <w:r>
              <w:rPr>
                <w:rFonts w:hint="eastAsia" w:ascii="宋体" w:hAnsi="宋体" w:eastAsia="宋体" w:cs="宋体"/>
                <w:color w:val="auto"/>
                <w:sz w:val="21"/>
                <w:szCs w:val="21"/>
              </w:rPr>
              <w:t>（投标文件中提供名单，未经采购单位允许，固定人员不得随意变更）。</w:t>
            </w:r>
          </w:p>
          <w:p w14:paraId="4D665AF7">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3、突发事件或紧急药品及使用科室应急药品随叫随送，或按采购人时间要求完成，超过时间采购单位有权按合同违约处理（特殊情况另议）。</w:t>
            </w:r>
          </w:p>
          <w:p w14:paraId="41E4E996">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4、中标供应商应在货物发运前对其进行满足运输距离、防潮、防震和防破损装卸等要求包装，以保证货物安全运输；并按与采购人确定的运输方式将货物运送至采购人指定地点，相关费用由中标供应商承担。</w:t>
            </w:r>
          </w:p>
          <w:p w14:paraId="17144001">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5、提供质量合格的中药饮片，并按供货批次提供中药饮片的质量检验报告书。</w:t>
            </w:r>
          </w:p>
          <w:p w14:paraId="4FCADB1D">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6、中标供应商应根据采购人订单要求及时将货物送至采购人指定收货地点；若采购人订单所列品种中标供应商暂不能提供，中标供应商应在接单后24小时内及时通知采购人。</w:t>
            </w:r>
          </w:p>
          <w:p w14:paraId="21877445">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7、投标人应遵守有关的国家法律、法令和条例，对特许生产和经营的小包装中药饮片符合国家相关法律、法规要求。</w:t>
            </w:r>
          </w:p>
          <w:p w14:paraId="21C176FD">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8、生产或经营的小包装中药饮片规格和色标应符合《国家中医药管理局办公室关于印发小包装中药饮片规格和色标的通知》(国中医药办医政发[2011]18号)的要求。</w:t>
            </w:r>
          </w:p>
          <w:p w14:paraId="48E13083">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9、中标品种一旦确定，不得无故不予配送，不配送及退货累计三次以上视为合同违约，采购人有权解除合同并要求中标供应商赔偿由此造成的所有损失。</w:t>
            </w:r>
          </w:p>
          <w:p w14:paraId="503D0989">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10、药品在交付采购人前发生的风险均由中标供应商负责。</w:t>
            </w:r>
          </w:p>
          <w:p w14:paraId="342DB793">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11、中标供应商提供的药品在质量保证期内，因工艺或材料的缺陷和其它质量原因造成的问题，由中标供应商负责，费用从余款或履约保证金中扣除，不足另补。</w:t>
            </w:r>
          </w:p>
          <w:p w14:paraId="5C261DDF">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12、在验收过程中发现中标供应商有违约问题的，采购人可暂缓资金结算，待违约问题解决后，方可办理资金结算事宜。</w:t>
            </w:r>
          </w:p>
          <w:p w14:paraId="7A7E9387">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13、接受采购人的临时抽检，检验样品由双方现场包装密封并签字，送有资质的相关部门检测，检测相关费用由中标供应商承担。</w:t>
            </w:r>
          </w:p>
          <w:p w14:paraId="24BCEB5E">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14、临近有效期药品中标供应商应无条件进行调换。</w:t>
            </w:r>
          </w:p>
          <w:p w14:paraId="3425E3D1">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15、中标供应商在供货时须提供货物正规来源的证明材料，确保货物的质量符合国家、行业相关质量标准和交易合法。</w:t>
            </w:r>
          </w:p>
          <w:p w14:paraId="33CD09E2">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16、中标供应商实际配送的货物必须为合格品，不能以次充好或提供假冒伪劣产品，否则本单位有权单方中止与中标供应商的供货协议并追究相关法律责任。</w:t>
            </w:r>
          </w:p>
          <w:p w14:paraId="48B57682">
            <w:pPr>
              <w:pStyle w:val="4"/>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kern w:val="2"/>
                <w:sz w:val="21"/>
                <w:szCs w:val="21"/>
                <w:u w:val="single"/>
                <w:lang w:val="en-US" w:eastAsia="zh-CN"/>
              </w:rPr>
            </w:pPr>
            <w:r>
              <w:rPr>
                <w:rFonts w:hint="eastAsia" w:ascii="宋体" w:hAnsi="宋体" w:eastAsia="宋体" w:cs="宋体"/>
                <w:color w:val="auto"/>
                <w:sz w:val="21"/>
                <w:szCs w:val="21"/>
                <w:lang w:val="en-US" w:eastAsia="zh-CN"/>
              </w:rPr>
              <w:t>17、</w:t>
            </w:r>
            <w:r>
              <w:rPr>
                <w:rFonts w:hint="eastAsia" w:ascii="宋体" w:hAnsi="宋体" w:eastAsia="宋体" w:cs="宋体"/>
                <w:color w:val="auto"/>
                <w:kern w:val="2"/>
                <w:sz w:val="21"/>
                <w:szCs w:val="21"/>
                <w:lang w:val="en-US" w:eastAsia="zh-CN"/>
              </w:rPr>
              <w:t>如因中标供应商原因（无故不予配送三次以上、采购人确有需求而中标供应商无法生产的品种、市场短缺长达两个月以上的品种以及其他因行业或政策原因无法提供满足采购人所需品种等）导致无法正常向采购人供货的，采购人有权通过但不限于议价等形式从第三方供应商引进相应品种，中标供应商不得有任何异议。</w:t>
            </w:r>
          </w:p>
          <w:p w14:paraId="4EDC1DCA">
            <w:pPr>
              <w:pStyle w:val="4"/>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18、中标人根据自身情况提供中药饮片供应相关配套服务事项，包括但不限于提供药架、调配台、特殊储存药品设备、温湿度监测仪器等。</w:t>
            </w:r>
          </w:p>
          <w:p w14:paraId="3064F6B9">
            <w:pPr>
              <w:pStyle w:val="4"/>
              <w:keepNext w:val="0"/>
              <w:keepLines w:val="0"/>
              <w:pageBreakBefore w:val="0"/>
              <w:widowControl w:val="0"/>
              <w:kinsoku/>
              <w:wordWrap/>
              <w:overflowPunct/>
              <w:topLinePunct w:val="0"/>
              <w:bidi w:val="0"/>
              <w:adjustRightInd/>
              <w:spacing w:line="380" w:lineRule="exact"/>
              <w:rPr>
                <w:rFonts w:hint="eastAsia"/>
                <w:color w:val="auto"/>
              </w:rPr>
            </w:pPr>
            <w:r>
              <w:rPr>
                <w:rFonts w:hint="eastAsia" w:ascii="宋体" w:hAnsi="宋体" w:eastAsia="宋体" w:cs="宋体"/>
                <w:b w:val="0"/>
                <w:bCs w:val="0"/>
                <w:color w:val="auto"/>
                <w:kern w:val="2"/>
                <w:sz w:val="21"/>
                <w:szCs w:val="21"/>
                <w:lang w:val="en-US" w:eastAsia="zh-CN" w:bidi="ar-SA"/>
              </w:rPr>
              <w:t>19、在采购人医院外实施饮片代煎服务的，中标供应商提供代煎服务并按处方提供全部饮片。</w:t>
            </w:r>
          </w:p>
        </w:tc>
        <w:tc>
          <w:tcPr>
            <w:tcW w:w="2063" w:type="pct"/>
            <w:tcBorders>
              <w:top w:val="single" w:color="auto" w:sz="4" w:space="0"/>
              <w:left w:val="single" w:color="auto" w:sz="4" w:space="0"/>
              <w:bottom w:val="single" w:color="auto" w:sz="4" w:space="0"/>
              <w:right w:val="single" w:color="auto" w:sz="4" w:space="0"/>
            </w:tcBorders>
            <w:noWrap w:val="0"/>
            <w:vAlign w:val="center"/>
          </w:tcPr>
          <w:p w14:paraId="62E38345">
            <w:pPr>
              <w:pStyle w:val="4"/>
              <w:keepNext w:val="0"/>
              <w:keepLines w:val="0"/>
              <w:pageBreakBefore w:val="0"/>
              <w:widowControl w:val="0"/>
              <w:kinsoku/>
              <w:wordWrap/>
              <w:overflowPunct/>
              <w:topLinePunct w:val="0"/>
              <w:bidi w:val="0"/>
              <w:adjustRightInd/>
              <w:spacing w:line="380" w:lineRule="exact"/>
              <w:rPr>
                <w:rFonts w:hint="eastAsia" w:ascii="宋体" w:hAnsi="宋体" w:eastAsia="宋体" w:cs="宋体"/>
                <w:b w:val="0"/>
                <w:bCs w:val="0"/>
                <w:color w:val="auto"/>
                <w:kern w:val="2"/>
                <w:sz w:val="21"/>
                <w:szCs w:val="21"/>
                <w:lang w:val="en-US" w:eastAsia="zh-CN" w:bidi="ar-SA"/>
              </w:rPr>
            </w:pPr>
          </w:p>
        </w:tc>
      </w:tr>
      <w:tr w14:paraId="7657C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5" w:type="pct"/>
            <w:gridSpan w:val="2"/>
            <w:tcBorders>
              <w:top w:val="single" w:color="auto" w:sz="4" w:space="0"/>
              <w:left w:val="single" w:color="auto" w:sz="4" w:space="0"/>
              <w:bottom w:val="single" w:color="auto" w:sz="4" w:space="0"/>
              <w:right w:val="single" w:color="auto" w:sz="4" w:space="0"/>
            </w:tcBorders>
            <w:noWrap w:val="0"/>
            <w:vAlign w:val="center"/>
          </w:tcPr>
          <w:p w14:paraId="6D21EE94">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2470" w:type="pct"/>
            <w:gridSpan w:val="6"/>
            <w:tcBorders>
              <w:top w:val="single" w:color="auto" w:sz="4" w:space="0"/>
              <w:left w:val="single" w:color="auto" w:sz="4" w:space="0"/>
              <w:bottom w:val="single" w:color="auto" w:sz="4" w:space="0"/>
              <w:right w:val="single" w:color="auto" w:sz="4" w:space="0"/>
            </w:tcBorders>
            <w:noWrap w:val="0"/>
            <w:vAlign w:val="center"/>
          </w:tcPr>
          <w:p w14:paraId="76AB9E79">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报价应包含中药饮片、包装、运输、检测、管理服务、中药饮片打粉和配送、保险、税金等完成合同所需的一切本身和不可或缺的所有开支、政策性文件规定的合同包含的所有风险、责任等各项全部费用的总和。</w:t>
            </w:r>
          </w:p>
          <w:p w14:paraId="2D327614">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Cs/>
                <w:color w:val="auto"/>
                <w:sz w:val="21"/>
                <w:szCs w:val="21"/>
              </w:rPr>
              <w:t>如发现质量问题，采购人可要求对中标人提供的货物进行抽检并送市级以上药品检测部门检测，检测所涉及的费用由中标人承担，投标报价中应包含检测费用。被药品检测部门抽检定为假、劣药的须无条件给予退换，并承担相关的法律责任，由此产生的相关费用由中标人自行负责。合同实施时，采购人不再支付任何项目费用。</w:t>
            </w:r>
          </w:p>
          <w:p w14:paraId="73E3A41E">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（3）投标人应按照“投标报价明细表”格式填写。每种货物只允许有一个报价，任何有选择的报价按将无效投标处理。</w:t>
            </w:r>
          </w:p>
          <w:p w14:paraId="71F33E3A">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（4）投标人必须就《投标报价明细表》进行唯一、完整的单价报价，不允许选择性报价或漏报，否则按无效投标处理。</w:t>
            </w:r>
          </w:p>
          <w:p w14:paraId="5E515C3B">
            <w:pPr>
              <w:keepNext w:val="0"/>
              <w:keepLines w:val="0"/>
              <w:pageBreakBefore w:val="0"/>
              <w:widowControl w:val="0"/>
              <w:tabs>
                <w:tab w:val="left" w:pos="180"/>
                <w:tab w:val="left" w:pos="1620"/>
              </w:tabs>
              <w:kinsoku/>
              <w:wordWrap/>
              <w:overflowPunct/>
              <w:topLinePunct w:val="0"/>
              <w:bidi w:val="0"/>
              <w:adjustRightInd/>
              <w:spacing w:line="380" w:lineRule="exact"/>
              <w:jc w:val="left"/>
              <w:rPr>
                <w:rFonts w:hint="eastAsia" w:ascii="宋体" w:hAnsi="宋体" w:eastAsia="宋体" w:cs="宋体"/>
                <w:bCs/>
                <w:color w:val="auto"/>
                <w:sz w:val="21"/>
                <w:szCs w:val="21"/>
              </w:rPr>
            </w:pPr>
            <w:r>
              <w:rPr>
                <w:rFonts w:hint="eastAsia" w:ascii="宋体" w:hAnsi="宋体" w:eastAsia="宋体" w:cs="宋体"/>
                <w:color w:val="auto"/>
                <w:sz w:val="21"/>
                <w:szCs w:val="21"/>
              </w:rPr>
              <w:t>（5）</w:t>
            </w:r>
            <w:r>
              <w:rPr>
                <w:rFonts w:hint="eastAsia" w:ascii="宋体" w:hAnsi="宋体" w:eastAsia="宋体" w:cs="宋体"/>
                <w:bCs/>
                <w:color w:val="auto"/>
                <w:sz w:val="21"/>
                <w:szCs w:val="21"/>
              </w:rPr>
              <w:t>合同履行3个月内，中标供应商价目表原则上不允许变动。3个月后价格随行就市，合同履行期间如确因中药市场原药材价格波动导致的中药饮片价格上涨或下跌，供应商可向采购人申请调价，并提供价格变动的佐证材料（至少3家三级甲等医院的供货价佐证），医院调整后的价格不高于供应商所提供的供货价佐证材料的最低价，经医院审批通过后方可进行调价；价格波动变动因素消除后市场供货价格回调的，前期进行价格调整的应重新回调至中标价格进行结算。</w:t>
            </w:r>
          </w:p>
          <w:p w14:paraId="4D4BF660">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（6）各投标人请根据自身供货能力情况进行报价，如出现中标供应商不能按所报价格供货的情况，采购人有权采取暂停供货或解除合同等措施维护自身权益。</w:t>
            </w:r>
          </w:p>
          <w:p w14:paraId="7008D9F2">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rPr>
            </w:pPr>
            <w:r>
              <w:rPr>
                <w:rFonts w:hint="eastAsia" w:ascii="宋体" w:hAnsi="宋体" w:eastAsia="宋体" w:cs="宋体"/>
                <w:color w:val="auto"/>
                <w:sz w:val="21"/>
                <w:szCs w:val="21"/>
              </w:rPr>
              <w:t>（7）投标人各项药品的投标报价单价不能高于采购人的采购单项限价，否则按无效投标处理。</w:t>
            </w:r>
          </w:p>
          <w:p w14:paraId="0C275598">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TW"/>
              </w:rPr>
              <w:t>采购人不承诺业务量，最终结算金额以实际发生采购量×中标单价为准。投标人自行考虑风险。</w:t>
            </w:r>
          </w:p>
        </w:tc>
        <w:tc>
          <w:tcPr>
            <w:tcW w:w="2063" w:type="pct"/>
            <w:tcBorders>
              <w:top w:val="single" w:color="auto" w:sz="4" w:space="0"/>
              <w:left w:val="single" w:color="auto" w:sz="4" w:space="0"/>
              <w:bottom w:val="single" w:color="auto" w:sz="4" w:space="0"/>
              <w:right w:val="single" w:color="auto" w:sz="4" w:space="0"/>
            </w:tcBorders>
            <w:noWrap w:val="0"/>
            <w:vAlign w:val="center"/>
          </w:tcPr>
          <w:p w14:paraId="08012425">
            <w:pPr>
              <w:keepNext w:val="0"/>
              <w:keepLines w:val="0"/>
              <w:pageBreakBefore w:val="0"/>
              <w:widowControl w:val="0"/>
              <w:kinsoku/>
              <w:wordWrap/>
              <w:overflowPunct/>
              <w:topLinePunct w:val="0"/>
              <w:bidi w:val="0"/>
              <w:adjustRightInd/>
              <w:spacing w:line="380" w:lineRule="exact"/>
              <w:rPr>
                <w:rFonts w:hint="eastAsia" w:ascii="宋体" w:hAnsi="宋体" w:eastAsia="宋体" w:cs="宋体"/>
                <w:color w:val="auto"/>
                <w:sz w:val="21"/>
                <w:szCs w:val="21"/>
                <w:lang w:eastAsia="zh-CN"/>
              </w:rPr>
            </w:pPr>
          </w:p>
        </w:tc>
      </w:tr>
      <w:tr w14:paraId="4DA5D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5" w:type="pct"/>
            <w:gridSpan w:val="2"/>
            <w:tcBorders>
              <w:top w:val="single" w:color="auto" w:sz="4" w:space="0"/>
              <w:left w:val="single" w:color="auto" w:sz="4" w:space="0"/>
              <w:bottom w:val="single" w:color="auto" w:sz="4" w:space="0"/>
              <w:right w:val="single" w:color="auto" w:sz="4" w:space="0"/>
            </w:tcBorders>
            <w:noWrap w:val="0"/>
            <w:vAlign w:val="center"/>
          </w:tcPr>
          <w:p w14:paraId="02CBD8F2">
            <w:pPr>
              <w:keepNext w:val="0"/>
              <w:keepLines w:val="0"/>
              <w:pageBreakBefore w:val="0"/>
              <w:widowControl w:val="0"/>
              <w:kinsoku/>
              <w:wordWrap/>
              <w:overflowPunct/>
              <w:topLinePunct w:val="0"/>
              <w:bidi w:val="0"/>
              <w:adjustRightInd/>
              <w:spacing w:line="380" w:lineRule="exact"/>
              <w:jc w:val="center"/>
              <w:rPr>
                <w:rFonts w:hint="eastAsia" w:ascii="宋体" w:hAnsi="宋体" w:eastAsia="宋体" w:cs="宋体"/>
                <w:b/>
                <w:color w:val="000000"/>
                <w:sz w:val="21"/>
                <w:szCs w:val="21"/>
              </w:rPr>
            </w:pPr>
            <w:r>
              <w:rPr>
                <w:rFonts w:hint="eastAsia" w:ascii="宋体" w:hAnsi="宋体" w:eastAsia="宋体" w:cs="宋体"/>
                <w:color w:val="000000"/>
                <w:sz w:val="21"/>
                <w:szCs w:val="21"/>
              </w:rPr>
              <w:t>知识产权</w:t>
            </w:r>
          </w:p>
        </w:tc>
        <w:tc>
          <w:tcPr>
            <w:tcW w:w="2470" w:type="pct"/>
            <w:gridSpan w:val="6"/>
            <w:tcBorders>
              <w:top w:val="single" w:color="auto" w:sz="4" w:space="0"/>
              <w:left w:val="single" w:color="auto" w:sz="4" w:space="0"/>
              <w:bottom w:val="single" w:color="auto" w:sz="4" w:space="0"/>
              <w:right w:val="single" w:color="auto" w:sz="4" w:space="0"/>
            </w:tcBorders>
            <w:noWrap w:val="0"/>
            <w:vAlign w:val="center"/>
          </w:tcPr>
          <w:p w14:paraId="6C83A761">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sz w:val="21"/>
                <w:szCs w:val="21"/>
              </w:rPr>
            </w:pPr>
            <w:r>
              <w:rPr>
                <w:rFonts w:hint="eastAsia" w:ascii="宋体" w:hAnsi="宋体" w:eastAsia="宋体" w:cs="宋体"/>
                <w:color w:val="000000"/>
                <w:sz w:val="21"/>
                <w:szCs w:val="21"/>
              </w:rPr>
              <w:t>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w:t>
            </w:r>
          </w:p>
        </w:tc>
        <w:tc>
          <w:tcPr>
            <w:tcW w:w="2063" w:type="pct"/>
            <w:tcBorders>
              <w:top w:val="single" w:color="auto" w:sz="4" w:space="0"/>
              <w:left w:val="single" w:color="auto" w:sz="4" w:space="0"/>
              <w:bottom w:val="single" w:color="auto" w:sz="4" w:space="0"/>
              <w:right w:val="single" w:color="auto" w:sz="4" w:space="0"/>
            </w:tcBorders>
            <w:noWrap w:val="0"/>
            <w:vAlign w:val="center"/>
          </w:tcPr>
          <w:p w14:paraId="655643E7">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rPr>
            </w:pPr>
          </w:p>
        </w:tc>
      </w:tr>
      <w:tr w14:paraId="37C99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restart"/>
            <w:tcBorders>
              <w:top w:val="single" w:color="auto" w:sz="4" w:space="0"/>
              <w:left w:val="single" w:color="auto" w:sz="4" w:space="0"/>
              <w:right w:val="single" w:color="auto" w:sz="4" w:space="0"/>
            </w:tcBorders>
            <w:noWrap w:val="0"/>
            <w:vAlign w:val="center"/>
          </w:tcPr>
          <w:p w14:paraId="09B51846">
            <w:pPr>
              <w:keepNext w:val="0"/>
              <w:keepLines w:val="0"/>
              <w:pageBreakBefore w:val="0"/>
              <w:widowControl w:val="0"/>
              <w:kinsoku/>
              <w:wordWrap/>
              <w:overflowPunct/>
              <w:topLinePunct w:val="0"/>
              <w:bidi w:val="0"/>
              <w:adjustRightInd/>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样品递交及要求</w:t>
            </w:r>
          </w:p>
          <w:p w14:paraId="726868F0">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73B5D53">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项号</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DE9B77">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药品名称</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340806">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样品数量（单位）</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508CCB">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highlight w:val="none"/>
              </w:rPr>
              <w:t>特别说明</w:t>
            </w:r>
          </w:p>
        </w:tc>
      </w:tr>
      <w:tr w14:paraId="1820C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461E4719">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5BDC22F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7AD5ACC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黄芪</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6BECA7">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31D977">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72B02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73ECFADE">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48DD3FA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39F83F0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法半夏</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77158A">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D56DAC">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7D57F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2D87C8BF">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0995404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75846CC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党参</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2D6222">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8EEF8E">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29616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0ABF211D">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29A895B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029003A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炒酸枣仁</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ADCA67">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8FBF80">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0F39A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47329A7D">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6F7B4FD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582F1DB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当归</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05543F">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3FFB2A">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7CD85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0BE58196">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3833000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6</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15643F8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红花</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625A18">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F4AD39">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4FE92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57376DD3">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32C34BF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7</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7905876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陈皮</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41E29D">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515A67">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3B249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00D82B92">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0E43609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260D8CA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川芎</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9DACA7">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CE6BDF">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3192C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24F7EA67">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6730E85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9</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24C703A1">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丹参</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2F800E">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3D3F04">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57526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43F2EF8D">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10FB6210">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5FD1AD4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茯苓</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266311">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35AD9F">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08955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5C4335C8">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5793ACD6">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11</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06A2BE2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蒸</w:t>
            </w:r>
            <w:r>
              <w:rPr>
                <w:rFonts w:hint="eastAsia" w:ascii="宋体" w:hAnsi="宋体" w:cs="宋体"/>
                <w:color w:val="auto"/>
                <w:szCs w:val="21"/>
                <w:highlight w:val="none"/>
              </w:rPr>
              <w:t>黄精</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50DF27">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37F63B">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2C28F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5D90B79C">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7E186AE1">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3CE82FD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桔梗</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00A407">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1AD62D">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21EE0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39902857">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345A2618">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13</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37BFB38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白芍</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4E930E">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1B9E84">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21886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right w:val="single" w:color="auto" w:sz="4" w:space="0"/>
            </w:tcBorders>
            <w:noWrap w:val="0"/>
            <w:vAlign w:val="center"/>
          </w:tcPr>
          <w:p w14:paraId="52E29010">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68EBA34B">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14</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0B75578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甘草</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368D79">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9A4CA6">
            <w:pPr>
              <w:snapToGrid w:val="0"/>
              <w:spacing w:line="460" w:lineRule="exact"/>
              <w:rPr>
                <w:rFonts w:hint="eastAsia" w:ascii="宋体" w:hAnsi="宋体" w:eastAsia="宋体" w:cs="宋体"/>
                <w:color w:val="auto"/>
                <w:kern w:val="2"/>
                <w:sz w:val="21"/>
                <w:szCs w:val="21"/>
                <w:highlight w:val="none"/>
                <w:lang w:val="en-US" w:eastAsia="zh-CN" w:bidi="ar-SA"/>
              </w:rPr>
            </w:pPr>
          </w:p>
        </w:tc>
      </w:tr>
      <w:tr w14:paraId="379E5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063" w:type="pct"/>
          <w:jc w:val="center"/>
        </w:trPr>
        <w:tc>
          <w:tcPr>
            <w:tcW w:w="465" w:type="pct"/>
            <w:gridSpan w:val="2"/>
            <w:vMerge w:val="continue"/>
            <w:tcBorders>
              <w:left w:val="single" w:color="auto" w:sz="4" w:space="0"/>
              <w:bottom w:val="single" w:color="auto" w:sz="4" w:space="0"/>
              <w:right w:val="single" w:color="auto" w:sz="4" w:space="0"/>
            </w:tcBorders>
            <w:noWrap w:val="0"/>
            <w:vAlign w:val="center"/>
          </w:tcPr>
          <w:p w14:paraId="63B0A40B">
            <w:pPr>
              <w:keepNext w:val="0"/>
              <w:keepLines w:val="0"/>
              <w:pageBreakBefore w:val="0"/>
              <w:widowControl w:val="0"/>
              <w:kinsoku/>
              <w:wordWrap/>
              <w:overflowPunct/>
              <w:topLinePunct w:val="0"/>
              <w:bidi w:val="0"/>
              <w:adjustRightInd/>
              <w:spacing w:line="380" w:lineRule="exact"/>
              <w:jc w:val="left"/>
              <w:rPr>
                <w:rFonts w:hint="eastAsia" w:ascii="宋体" w:hAnsi="宋体" w:eastAsia="宋体" w:cs="宋体"/>
                <w:color w:val="000000"/>
                <w:sz w:val="21"/>
                <w:szCs w:val="21"/>
                <w:lang w:val="en-US" w:eastAsia="zh-CN"/>
              </w:rPr>
            </w:pPr>
          </w:p>
        </w:tc>
        <w:tc>
          <w:tcPr>
            <w:tcW w:w="359" w:type="pct"/>
            <w:gridSpan w:val="3"/>
            <w:tcBorders>
              <w:top w:val="single" w:color="auto" w:sz="4" w:space="0"/>
              <w:left w:val="single" w:color="auto" w:sz="4" w:space="0"/>
              <w:bottom w:val="single" w:color="auto" w:sz="4" w:space="0"/>
              <w:right w:val="single" w:color="auto" w:sz="4" w:space="0"/>
            </w:tcBorders>
            <w:shd w:val="clear" w:color="auto" w:fill="auto"/>
            <w:noWrap w:val="0"/>
            <w:vAlign w:val="bottom"/>
          </w:tcPr>
          <w:p w14:paraId="025D17F5">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15</w:t>
            </w:r>
          </w:p>
        </w:tc>
        <w:tc>
          <w:tcPr>
            <w:tcW w:w="759"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76C4B9B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黄芩</w:t>
            </w:r>
          </w:p>
        </w:tc>
        <w:tc>
          <w:tcPr>
            <w:tcW w:w="8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2FC332">
            <w:pPr>
              <w:snapToGrid w:val="0"/>
              <w:spacing w:line="4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30g</w:t>
            </w:r>
          </w:p>
        </w:tc>
        <w:tc>
          <w:tcPr>
            <w:tcW w:w="53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033991">
            <w:pPr>
              <w:snapToGrid w:val="0"/>
              <w:spacing w:line="460" w:lineRule="exact"/>
              <w:rPr>
                <w:rFonts w:hint="eastAsia" w:ascii="宋体" w:hAnsi="宋体" w:eastAsia="宋体" w:cs="宋体"/>
                <w:color w:val="auto"/>
                <w:kern w:val="2"/>
                <w:sz w:val="21"/>
                <w:szCs w:val="21"/>
                <w:highlight w:val="none"/>
                <w:lang w:val="en-US" w:eastAsia="zh-CN" w:bidi="ar-SA"/>
              </w:rPr>
            </w:pPr>
          </w:p>
        </w:tc>
      </w:tr>
    </w:tbl>
    <w:p w14:paraId="04AAE07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M2VkMjE4MTViZjVlMzlmYjk5MmI0ZDAzNTljMDYifQ=="/>
  </w:docVars>
  <w:rsids>
    <w:rsidRoot w:val="00000000"/>
    <w:rsid w:val="16297009"/>
    <w:rsid w:val="1DA82F09"/>
    <w:rsid w:val="20C155BE"/>
    <w:rsid w:val="32BF0730"/>
    <w:rsid w:val="43AD2778"/>
    <w:rsid w:val="48405E10"/>
    <w:rsid w:val="68D01F76"/>
    <w:rsid w:val="6B4C0FE7"/>
    <w:rsid w:val="6F614293"/>
    <w:rsid w:val="7A8D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cs="Times New Roman"/>
    </w:rPr>
  </w:style>
  <w:style w:type="paragraph" w:styleId="4">
    <w:name w:val="Body Text"/>
    <w:basedOn w:val="1"/>
    <w:next w:val="5"/>
    <w:qFormat/>
    <w:uiPriority w:val="0"/>
    <w:pPr>
      <w:spacing w:line="380" w:lineRule="exact"/>
    </w:pPr>
    <w:rPr>
      <w:rFonts w:eastAsia="Ђˎ̥"/>
      <w:kern w:val="0"/>
      <w:sz w:val="24"/>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paragraph" w:styleId="6">
    <w:name w:val="Body Text Indent"/>
    <w:basedOn w:val="1"/>
    <w:qFormat/>
    <w:uiPriority w:val="0"/>
    <w:pPr>
      <w:spacing w:line="200" w:lineRule="exact"/>
      <w:ind w:firstLine="301"/>
    </w:pPr>
    <w:rPr>
      <w:spacing w:val="-4"/>
      <w:sz w:val="18"/>
    </w:rPr>
  </w:style>
  <w:style w:type="paragraph" w:styleId="7">
    <w:name w:val="Plain Text"/>
    <w:basedOn w:val="1"/>
    <w:next w:val="2"/>
    <w:qFormat/>
    <w:uiPriority w:val="99"/>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4817</Words>
  <Characters>4875</Characters>
  <Lines>0</Lines>
  <Paragraphs>0</Paragraphs>
  <TotalTime>0</TotalTime>
  <ScaleCrop>false</ScaleCrop>
  <LinksUpToDate>false</LinksUpToDate>
  <CharactersWithSpaces>4879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2024-11-19T09:13:00Z</dcterms:created>
  <dc:creator>张春花</dc:creator>
  <cp:lastModifiedBy>冰雨笑笑</cp:lastModifiedBy>
  <dcterms:modified xsi:type="dcterms:W3CDTF">2024-12-18T07:17:05Z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F2F2285F48F1490CA7A5B1439BE851B9_12</vt:lpwstr>
  </property>
</Properties>
</file>