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highlight w:val="none"/>
        </w:rPr>
      </w:pPr>
    </w:p>
    <w:p w14:paraId="5E8725C8">
      <w:pPr>
        <w:spacing w:before="312" w:beforeLines="100" w:after="156" w:afterLines="50" w:line="600" w:lineRule="exact"/>
        <w:jc w:val="center"/>
        <w:rPr>
          <w:rFonts w:hint="eastAsia" w:ascii="宋体" w:hAnsi="宋体" w:cs="宋体"/>
          <w:b/>
          <w:color w:val="000000"/>
          <w:kern w:val="0"/>
          <w:sz w:val="52"/>
          <w:szCs w:val="52"/>
          <w:highlight w:val="none"/>
          <w:lang w:val="en-US" w:eastAsia="zh-CN"/>
        </w:rPr>
      </w:pPr>
      <w:r>
        <w:rPr>
          <w:rFonts w:hint="eastAsia" w:ascii="宋体" w:hAnsi="宋体" w:cs="宋体"/>
          <w:b/>
          <w:color w:val="000000"/>
          <w:kern w:val="0"/>
          <w:sz w:val="52"/>
          <w:szCs w:val="52"/>
          <w:highlight w:val="none"/>
          <w:lang w:val="en-US" w:eastAsia="zh-CN"/>
        </w:rPr>
        <w:t>一次性使用单采血液成份分离器</w:t>
      </w:r>
    </w:p>
    <w:p w14:paraId="00EC8EBE">
      <w:pPr>
        <w:spacing w:before="312" w:beforeLines="100" w:after="156" w:afterLines="50" w:line="600" w:lineRule="exact"/>
        <w:jc w:val="center"/>
        <w:rPr>
          <w:rFonts w:hint="default" w:ascii="宋体" w:hAnsi="宋体"/>
          <w:b/>
          <w:sz w:val="52"/>
          <w:szCs w:val="52"/>
          <w:highlight w:val="none"/>
          <w:lang w:val="en-US"/>
        </w:rPr>
      </w:pPr>
      <w:r>
        <w:rPr>
          <w:rFonts w:hint="eastAsia" w:ascii="宋体" w:hAnsi="宋体" w:cs="宋体"/>
          <w:b/>
          <w:color w:val="000000"/>
          <w:kern w:val="0"/>
          <w:sz w:val="52"/>
          <w:szCs w:val="52"/>
          <w:highlight w:val="none"/>
          <w:lang w:val="en-US" w:eastAsia="zh-CN"/>
        </w:rPr>
        <w:t>院内议价采购项目</w:t>
      </w:r>
    </w:p>
    <w:p w14:paraId="43D56B0D">
      <w:pPr>
        <w:spacing w:before="312" w:beforeLines="100" w:after="156" w:afterLines="50" w:line="600" w:lineRule="exact"/>
        <w:jc w:val="center"/>
        <w:rPr>
          <w:rFonts w:hint="eastAsia" w:ascii="宋体" w:hAnsi="宋体"/>
          <w:b/>
          <w:sz w:val="72"/>
          <w:szCs w:val="72"/>
          <w:highlight w:val="none"/>
        </w:rPr>
      </w:pPr>
    </w:p>
    <w:p w14:paraId="6D3EFEE5">
      <w:pPr>
        <w:spacing w:before="312" w:beforeLines="100" w:after="156" w:afterLines="50" w:line="600" w:lineRule="exact"/>
        <w:jc w:val="center"/>
        <w:rPr>
          <w:rFonts w:hint="eastAsia" w:ascii="宋体" w:hAnsi="宋体"/>
          <w:b/>
          <w:sz w:val="72"/>
          <w:szCs w:val="72"/>
          <w:highlight w:val="none"/>
        </w:rPr>
      </w:pPr>
    </w:p>
    <w:p w14:paraId="0DD5449A">
      <w:pPr>
        <w:spacing w:line="400" w:lineRule="exact"/>
        <w:jc w:val="center"/>
        <w:rPr>
          <w:rFonts w:hint="eastAsia" w:ascii="宋体" w:hAnsi="宋体"/>
          <w:b/>
          <w:sz w:val="32"/>
          <w:szCs w:val="32"/>
          <w:highlight w:val="none"/>
        </w:rPr>
      </w:pPr>
    </w:p>
    <w:p w14:paraId="6002A8BB">
      <w:pPr>
        <w:pStyle w:val="9"/>
        <w:ind w:left="0" w:leftChars="0" w:firstLine="0" w:firstLineChars="0"/>
        <w:rPr>
          <w:rFonts w:hint="eastAsia"/>
          <w:highlight w:val="none"/>
        </w:rPr>
      </w:pPr>
    </w:p>
    <w:p w14:paraId="3B3648DB">
      <w:pPr>
        <w:rPr>
          <w:rFonts w:hint="eastAsia"/>
          <w:highlight w:val="none"/>
        </w:rPr>
      </w:pPr>
    </w:p>
    <w:p w14:paraId="07E83239">
      <w:pPr>
        <w:rPr>
          <w:rFonts w:hint="eastAsia"/>
          <w:highlight w:val="none"/>
        </w:rPr>
      </w:pPr>
    </w:p>
    <w:p w14:paraId="2E4D566A">
      <w:pPr>
        <w:spacing w:line="400" w:lineRule="exact"/>
        <w:ind w:firstLine="1430" w:firstLineChars="445"/>
        <w:rPr>
          <w:rFonts w:hint="eastAsia" w:ascii="宋体" w:hAnsi="宋体"/>
          <w:b/>
          <w:sz w:val="32"/>
          <w:szCs w:val="32"/>
          <w:highlight w:val="none"/>
        </w:rPr>
      </w:pPr>
      <w:r>
        <w:rPr>
          <w:rFonts w:hint="eastAsia" w:ascii="宋体" w:hAnsi="宋体"/>
          <w:b/>
          <w:sz w:val="32"/>
          <w:szCs w:val="32"/>
          <w:highlight w:val="none"/>
        </w:rPr>
        <w:t>采购单位：广西壮族自治区生殖医院</w:t>
      </w:r>
    </w:p>
    <w:p w14:paraId="3EA34D88">
      <w:pPr>
        <w:spacing w:line="400" w:lineRule="exact"/>
        <w:ind w:firstLine="1430" w:firstLineChars="445"/>
        <w:rPr>
          <w:rFonts w:hint="eastAsia" w:ascii="宋体" w:hAnsi="宋体"/>
          <w:b/>
          <w:sz w:val="32"/>
          <w:szCs w:val="32"/>
          <w:highlight w:val="none"/>
        </w:rPr>
      </w:pPr>
    </w:p>
    <w:p w14:paraId="456BA3A8">
      <w:pPr>
        <w:spacing w:line="400" w:lineRule="exact"/>
        <w:rPr>
          <w:rFonts w:hint="eastAsia" w:ascii="宋体" w:hAnsi="宋体"/>
          <w:b/>
          <w:sz w:val="32"/>
          <w:szCs w:val="32"/>
          <w:highlight w:val="none"/>
        </w:rPr>
      </w:pPr>
      <w:r>
        <w:rPr>
          <w:rFonts w:hint="eastAsia" w:ascii="宋体" w:hAnsi="宋体"/>
          <w:b/>
          <w:sz w:val="32"/>
          <w:szCs w:val="32"/>
          <w:highlight w:val="none"/>
        </w:rPr>
        <w:t xml:space="preserve">                        </w:t>
      </w:r>
    </w:p>
    <w:p w14:paraId="3C3E0FFB">
      <w:pPr>
        <w:spacing w:line="400" w:lineRule="exact"/>
        <w:jc w:val="center"/>
        <w:rPr>
          <w:rFonts w:hint="eastAsia" w:ascii="宋体" w:hAnsi="宋体"/>
          <w:b/>
          <w:sz w:val="32"/>
          <w:szCs w:val="32"/>
          <w:highlight w:val="none"/>
        </w:rPr>
      </w:pPr>
    </w:p>
    <w:p w14:paraId="16E20A21">
      <w:pPr>
        <w:spacing w:line="400" w:lineRule="exact"/>
        <w:jc w:val="center"/>
        <w:rPr>
          <w:rFonts w:hint="eastAsia" w:ascii="宋体" w:hAnsi="宋体"/>
          <w:b/>
          <w:sz w:val="32"/>
          <w:szCs w:val="32"/>
          <w:highlight w:val="none"/>
        </w:rPr>
      </w:pPr>
    </w:p>
    <w:p w14:paraId="6F4F11A3">
      <w:pPr>
        <w:spacing w:line="400" w:lineRule="exact"/>
        <w:jc w:val="center"/>
        <w:rPr>
          <w:rFonts w:hint="eastAsia" w:ascii="宋体" w:hAnsi="宋体"/>
          <w:b/>
          <w:sz w:val="32"/>
          <w:szCs w:val="32"/>
          <w:highlight w:val="none"/>
        </w:rPr>
      </w:pPr>
    </w:p>
    <w:p w14:paraId="052FEAF2">
      <w:pPr>
        <w:spacing w:line="400" w:lineRule="exact"/>
        <w:jc w:val="center"/>
        <w:rPr>
          <w:rFonts w:hint="eastAsia" w:ascii="宋体" w:hAnsi="宋体"/>
          <w:b/>
          <w:sz w:val="32"/>
          <w:szCs w:val="32"/>
          <w:highlight w:val="none"/>
        </w:rPr>
      </w:pPr>
    </w:p>
    <w:p w14:paraId="53A59630">
      <w:pPr>
        <w:spacing w:line="400" w:lineRule="exact"/>
        <w:jc w:val="center"/>
        <w:rPr>
          <w:rFonts w:hint="eastAsia" w:ascii="宋体" w:hAnsi="宋体"/>
          <w:b/>
          <w:sz w:val="32"/>
          <w:szCs w:val="32"/>
          <w:highlight w:val="none"/>
        </w:rPr>
      </w:pPr>
    </w:p>
    <w:p w14:paraId="696E17AB">
      <w:pPr>
        <w:spacing w:line="400" w:lineRule="exact"/>
        <w:jc w:val="center"/>
        <w:rPr>
          <w:rFonts w:hint="eastAsia" w:ascii="宋体" w:hAnsi="宋体"/>
          <w:b/>
          <w:sz w:val="32"/>
          <w:szCs w:val="32"/>
          <w:highlight w:val="none"/>
        </w:rPr>
      </w:pPr>
    </w:p>
    <w:p w14:paraId="31E64442">
      <w:pPr>
        <w:spacing w:line="400" w:lineRule="exact"/>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p>
    <w:p w14:paraId="53B63CD8">
      <w:pPr>
        <w:spacing w:line="400" w:lineRule="exact"/>
        <w:jc w:val="center"/>
        <w:rPr>
          <w:rFonts w:hint="eastAsia" w:ascii="宋体" w:hAnsi="宋体"/>
          <w:b/>
          <w:sz w:val="32"/>
          <w:szCs w:val="32"/>
          <w:highlight w:val="none"/>
        </w:rPr>
      </w:pPr>
    </w:p>
    <w:p w14:paraId="155CB9A4">
      <w:pPr>
        <w:widowControl/>
        <w:spacing w:line="255" w:lineRule="atLeast"/>
        <w:jc w:val="center"/>
        <w:rPr>
          <w:rFonts w:hint="eastAsia" w:ascii="宋体" w:hAnsi="宋体" w:cs="宋体"/>
          <w:b/>
          <w:color w:val="000000"/>
          <w:kern w:val="0"/>
          <w:sz w:val="32"/>
          <w:szCs w:val="32"/>
          <w:highlight w:val="none"/>
          <w:lang w:val="en-US" w:eastAsia="zh-CN"/>
        </w:rPr>
      </w:pPr>
    </w:p>
    <w:p w14:paraId="5E055B97">
      <w:pPr>
        <w:widowControl/>
        <w:spacing w:line="255" w:lineRule="atLeast"/>
        <w:jc w:val="center"/>
        <w:rPr>
          <w:rFonts w:hint="eastAsia" w:ascii="宋体" w:hAnsi="宋体" w:cs="宋体"/>
          <w:b/>
          <w:color w:val="000000"/>
          <w:kern w:val="0"/>
          <w:sz w:val="32"/>
          <w:szCs w:val="32"/>
          <w:highlight w:val="none"/>
          <w:lang w:val="en-US" w:eastAsia="zh-CN"/>
        </w:rPr>
      </w:pPr>
    </w:p>
    <w:p w14:paraId="3329A9EA">
      <w:pPr>
        <w:widowControl/>
        <w:spacing w:line="255" w:lineRule="atLeas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第一章  一次性使用单采血液成份分离器院内议价采购</w:t>
      </w:r>
      <w:r>
        <w:rPr>
          <w:rFonts w:hint="eastAsia" w:ascii="宋体" w:hAnsi="宋体" w:cs="宋体"/>
          <w:b/>
          <w:color w:val="000000"/>
          <w:kern w:val="0"/>
          <w:sz w:val="32"/>
          <w:szCs w:val="32"/>
          <w:highlight w:val="none"/>
        </w:rPr>
        <w:t>公告</w:t>
      </w:r>
    </w:p>
    <w:p w14:paraId="166E6D3D">
      <w:pPr>
        <w:ind w:firstLine="480" w:firstLineChars="200"/>
        <w:rPr>
          <w:rFonts w:hint="eastAsia"/>
          <w:color w:val="auto"/>
          <w:sz w:val="24"/>
          <w:highlight w:val="none"/>
        </w:rPr>
      </w:pPr>
      <w:r>
        <w:rPr>
          <w:rFonts w:hint="eastAsia"/>
          <w:sz w:val="24"/>
          <w:highlight w:val="none"/>
          <w:lang w:val="en-US" w:eastAsia="zh-CN"/>
        </w:rPr>
        <w:t>我院拟对以下项目采用院内公开</w:t>
      </w:r>
      <w:r>
        <w:rPr>
          <w:rFonts w:hint="eastAsia"/>
          <w:color w:val="auto"/>
          <w:sz w:val="24"/>
          <w:highlight w:val="none"/>
          <w:lang w:val="en-US" w:eastAsia="zh-CN"/>
        </w:rPr>
        <w:t>议价广西壮族自治区医疗保障一体化平台药品和医用耗材招采管理子系统挂网目录内产品的方式采购，</w:t>
      </w:r>
      <w:r>
        <w:rPr>
          <w:rFonts w:hint="eastAsia"/>
          <w:color w:val="auto"/>
          <w:sz w:val="24"/>
          <w:highlight w:val="none"/>
        </w:rPr>
        <w:t>欢迎符合要求的供应商提交资料参加。</w:t>
      </w:r>
    </w:p>
    <w:p w14:paraId="369E184C">
      <w:pPr>
        <w:numPr>
          <w:ilvl w:val="0"/>
          <w:numId w:val="0"/>
        </w:numPr>
        <w:ind w:firstLine="480" w:firstLineChars="200"/>
        <w:rPr>
          <w:rFonts w:hint="default"/>
          <w:color w:val="auto"/>
          <w:sz w:val="24"/>
          <w:highlight w:val="none"/>
          <w:lang w:val="en-US" w:eastAsia="zh-CN"/>
        </w:rPr>
      </w:pPr>
      <w:r>
        <w:rPr>
          <w:rFonts w:hint="eastAsia" w:ascii="Calibri" w:hAnsi="Calibri" w:eastAsia="宋体" w:cs="Times New Roman"/>
          <w:color w:val="auto"/>
          <w:kern w:val="2"/>
          <w:sz w:val="24"/>
          <w:szCs w:val="22"/>
          <w:highlight w:val="none"/>
          <w:lang w:val="en-US" w:eastAsia="zh-CN" w:bidi="ar-SA"/>
        </w:rPr>
        <w:t>一、</w:t>
      </w:r>
      <w:r>
        <w:rPr>
          <w:rFonts w:hint="eastAsia"/>
          <w:sz w:val="24"/>
          <w:highlight w:val="none"/>
          <w:lang w:eastAsia="zh-CN"/>
        </w:rPr>
        <w:t>项目名称</w:t>
      </w:r>
      <w:r>
        <w:rPr>
          <w:sz w:val="24"/>
          <w:highlight w:val="none"/>
        </w:rPr>
        <w:t>：</w:t>
      </w:r>
      <w:r>
        <w:rPr>
          <w:rFonts w:hint="eastAsia"/>
          <w:sz w:val="24"/>
          <w:highlight w:val="none"/>
          <w:lang w:val="en-US" w:eastAsia="zh-CN"/>
        </w:rPr>
        <w:t>一次性使用单采血液成份分离器</w:t>
      </w:r>
      <w:r>
        <w:rPr>
          <w:rFonts w:hint="eastAsia"/>
          <w:sz w:val="24"/>
          <w:highlight w:val="none"/>
        </w:rPr>
        <w:t>院内</w:t>
      </w:r>
      <w:r>
        <w:rPr>
          <w:rFonts w:hint="eastAsia"/>
          <w:sz w:val="24"/>
          <w:highlight w:val="none"/>
          <w:lang w:val="en-US" w:eastAsia="zh-CN"/>
        </w:rPr>
        <w:t>议价采购项目</w:t>
      </w:r>
    </w:p>
    <w:p w14:paraId="0106B022">
      <w:pPr>
        <w:numPr>
          <w:ilvl w:val="0"/>
          <w:numId w:val="0"/>
        </w:numPr>
        <w:ind w:left="0" w:leftChars="0" w:firstLine="480" w:firstLineChars="200"/>
        <w:rPr>
          <w:rFonts w:hint="eastAsia"/>
          <w:highlight w:val="none"/>
          <w:lang w:eastAsia="zh-CN"/>
        </w:rPr>
      </w:pPr>
      <w:r>
        <w:rPr>
          <w:rFonts w:hint="eastAsia" w:ascii="Calibri" w:hAnsi="Calibri" w:eastAsia="宋体" w:cs="Times New Roman"/>
          <w:color w:val="auto"/>
          <w:kern w:val="2"/>
          <w:sz w:val="24"/>
          <w:szCs w:val="22"/>
          <w:highlight w:val="none"/>
          <w:lang w:val="en-US" w:eastAsia="zh-CN" w:bidi="ar-SA"/>
        </w:rPr>
        <w:t>二</w:t>
      </w:r>
      <w:r>
        <w:rPr>
          <w:rFonts w:hint="eastAsia" w:ascii="Calibri" w:hAnsi="Calibri" w:eastAsia="宋体" w:cs="Times New Roman"/>
          <w:kern w:val="2"/>
          <w:sz w:val="21"/>
          <w:szCs w:val="22"/>
          <w:highlight w:val="none"/>
          <w:lang w:val="en-US" w:eastAsia="zh-CN" w:bidi="ar-SA"/>
        </w:rPr>
        <w:t>、</w:t>
      </w:r>
      <w:r>
        <w:rPr>
          <w:rFonts w:hint="eastAsia"/>
          <w:color w:val="auto"/>
          <w:sz w:val="24"/>
          <w:highlight w:val="none"/>
          <w:lang w:val="en-US" w:eastAsia="zh-CN"/>
        </w:rPr>
        <w:t>采购</w:t>
      </w:r>
      <w:r>
        <w:rPr>
          <w:rFonts w:hint="eastAsia"/>
          <w:color w:val="auto"/>
          <w:sz w:val="24"/>
          <w:highlight w:val="none"/>
        </w:rPr>
        <w:t>项目</w:t>
      </w:r>
      <w:r>
        <w:rPr>
          <w:rFonts w:hint="eastAsia"/>
          <w:color w:val="auto"/>
          <w:sz w:val="24"/>
          <w:highlight w:val="none"/>
          <w:lang w:eastAsia="zh-CN"/>
        </w:rPr>
        <w:t>：</w:t>
      </w:r>
    </w:p>
    <w:tbl>
      <w:tblPr>
        <w:tblStyle w:val="13"/>
        <w:tblW w:w="7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03"/>
        <w:gridCol w:w="757"/>
        <w:gridCol w:w="1396"/>
        <w:gridCol w:w="1295"/>
        <w:gridCol w:w="1185"/>
      </w:tblGrid>
      <w:tr w14:paraId="54FD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3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24482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96" w:type="dxa"/>
            <w:tcBorders>
              <w:top w:val="single" w:color="auto" w:sz="4" w:space="0"/>
              <w:left w:val="nil"/>
              <w:bottom w:val="nil"/>
              <w:right w:val="nil"/>
            </w:tcBorders>
            <w:shd w:val="clear" w:color="auto" w:fill="auto"/>
            <w:noWrap/>
            <w:vAlign w:val="center"/>
          </w:tcPr>
          <w:p w14:paraId="2406A2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最高采购单价（元</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3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预估年采购量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1A71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1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7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一次性使用单采血液成份分离器</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11B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829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5A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8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4064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C9C593">
            <w:pPr>
              <w:keepNext w:val="0"/>
              <w:keepLines w:val="0"/>
              <w:widowControl/>
              <w:suppressLineNumbers w:val="0"/>
              <w:tabs>
                <w:tab w:val="left" w:pos="2239"/>
              </w:tabs>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eastAsia="宋体" w:cs="Times New Roman"/>
                <w:kern w:val="2"/>
                <w:sz w:val="24"/>
                <w:szCs w:val="24"/>
                <w:lang w:val="en-US" w:eastAsia="zh-CN" w:bidi="ar-SA"/>
              </w:rPr>
              <w:t>备注：以上采购量为预估量，结算以实际采购量为准</w:t>
            </w:r>
          </w:p>
        </w:tc>
      </w:tr>
    </w:tbl>
    <w:p w14:paraId="2FA064EE">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采购方式：院内议价采购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2024年12月5日-11日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于2024年12月12日下午2点30分参加议价采购会（具体时间另行通知）。纸质版响应文件一式六份，一正五副。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05A67B6C">
      <w:pPr>
        <w:numPr>
          <w:ilvl w:val="0"/>
          <w:numId w:val="4"/>
        </w:numPr>
        <w:spacing w:line="440" w:lineRule="exact"/>
        <w:jc w:val="both"/>
        <w:rPr>
          <w:rFonts w:cs="Times New Roman"/>
          <w:b/>
          <w:highlight w:val="none"/>
        </w:rPr>
      </w:pPr>
      <w:r>
        <w:rPr>
          <w:rFonts w:hint="eastAsia" w:cs="Times New Roman"/>
          <w:b/>
          <w:highlight w:val="none"/>
          <w:lang w:val="en-US" w:eastAsia="zh-CN"/>
        </w:rPr>
        <w:t>议价</w:t>
      </w:r>
      <w:r>
        <w:rPr>
          <w:rFonts w:cs="Times New Roman"/>
          <w:b/>
          <w:highlight w:val="none"/>
        </w:rPr>
        <w:t>项目要求及技术需求</w:t>
      </w:r>
    </w:p>
    <w:tbl>
      <w:tblPr>
        <w:tblStyle w:val="13"/>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3945"/>
      </w:tblGrid>
      <w:tr w14:paraId="4968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auto" w:sz="4" w:space="0"/>
              <w:left w:val="nil"/>
              <w:bottom w:val="nil"/>
              <w:right w:val="nil"/>
            </w:tcBorders>
            <w:shd w:val="clear" w:color="auto" w:fill="auto"/>
            <w:noWrap/>
            <w:vAlign w:val="center"/>
          </w:tcPr>
          <w:p w14:paraId="38036A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0"/>
                <w:szCs w:val="20"/>
                <w:u w:val="none"/>
                <w:lang w:val="en-US" w:eastAsia="zh-CN"/>
              </w:rPr>
              <w:t>最高采购单价（元</w:t>
            </w:r>
            <w:r>
              <w:rPr>
                <w:rFonts w:hint="default"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根）</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28B8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一次性使用单采血液成份分离器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6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1100</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31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1.用途：用于采集PRP（富血小板血浆）的耗材，适用于配套离心式血液成分分离设备。能够实现血液成分采集、分离和回输。</w:t>
            </w:r>
          </w:p>
          <w:p w14:paraId="375F64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2.▲适用机型：NGL XCF3000。</w:t>
            </w:r>
          </w:p>
          <w:p w14:paraId="61734A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3.组成：由分离杯、管路系统，静脉穿刺器和收集系统(血浆转移袋，转移袋、采集袋、血液成分收集袋、中转袋)组成。</w:t>
            </w:r>
          </w:p>
          <w:p w14:paraId="13092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4.灭菌要求：经环氧乙烷灭菌，无菌、无热原，一次性使用。</w:t>
            </w:r>
          </w:p>
        </w:tc>
      </w:tr>
    </w:tbl>
    <w:p w14:paraId="46463555">
      <w:pPr>
        <w:numPr>
          <w:ilvl w:val="0"/>
          <w:numId w:val="0"/>
        </w:numPr>
        <w:spacing w:line="440" w:lineRule="exact"/>
        <w:jc w:val="both"/>
        <w:rPr>
          <w:rFonts w:cs="Times New Roman"/>
          <w:b/>
          <w:highlight w:val="none"/>
        </w:rPr>
      </w:pPr>
    </w:p>
    <w:tbl>
      <w:tblPr>
        <w:tblStyle w:val="13"/>
        <w:tblpPr w:leftFromText="180" w:rightFromText="180" w:vertAnchor="text" w:horzAnchor="page" w:tblpX="1757" w:tblpY="585"/>
        <w:tblOverlap w:val="never"/>
        <w:tblW w:w="87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0"/>
        <w:gridCol w:w="6816"/>
      </w:tblGrid>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726" w:type="dxa"/>
            <w:gridSpan w:val="2"/>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10" w:type="dxa"/>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816"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10" w:type="dxa"/>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816"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10" w:type="dxa"/>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816"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10" w:type="dxa"/>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816" w:type="dxa"/>
            <w:tcBorders>
              <w:top w:val="single" w:color="auto" w:sz="4" w:space="0"/>
              <w:left w:val="single" w:color="auto" w:sz="4" w:space="0"/>
              <w:bottom w:val="single" w:color="auto" w:sz="4" w:space="0"/>
              <w:right w:val="single" w:color="auto" w:sz="4" w:space="0"/>
            </w:tcBorders>
            <w:vAlign w:val="center"/>
          </w:tcPr>
          <w:p w14:paraId="3B93B897">
            <w:pPr>
              <w:numPr>
                <w:ilvl w:val="0"/>
                <w:numId w:val="5"/>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10" w:type="dxa"/>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816"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910" w:type="dxa"/>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816"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1910" w:type="dxa"/>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816"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770A85C">
      <w:pPr>
        <w:pStyle w:val="4"/>
        <w:rPr>
          <w:rFonts w:hint="default"/>
          <w:sz w:val="21"/>
          <w:szCs w:val="21"/>
          <w:lang w:val="en-US" w:eastAsia="zh-CN"/>
        </w:rPr>
      </w:pPr>
    </w:p>
    <w:p w14:paraId="5B55CC07">
      <w:pPr>
        <w:spacing w:line="360" w:lineRule="exact"/>
        <w:ind w:right="97" w:rightChars="46"/>
        <w:jc w:val="left"/>
        <w:rPr>
          <w:rFonts w:hint="default" w:ascii="宋体" w:hAnsi="宋体" w:eastAsia="宋体" w:cs="宋体"/>
          <w:b w:val="0"/>
          <w:bCs/>
          <w:color w:val="auto"/>
          <w:szCs w:val="21"/>
          <w:highlight w:val="none"/>
          <w:lang w:val="en-US" w:eastAsia="zh-CN"/>
        </w:rPr>
      </w:pPr>
    </w:p>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议价响应文件要求及装订顺序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议价响应文件封面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议价</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议价项目：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7"/>
        </w:numPr>
        <w:ind w:left="0" w:leftChars="0" w:firstLine="0" w:firstLineChars="0"/>
        <w:rPr>
          <w:rFonts w:hint="default"/>
          <w:lang w:val="en-US" w:eastAsia="zh-CN"/>
        </w:rPr>
      </w:pPr>
      <w:r>
        <w:rPr>
          <w:rFonts w:hint="eastAsia"/>
          <w:lang w:val="en-US" w:eastAsia="zh-CN"/>
        </w:rPr>
        <w:t>议价文件目录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议价文件目录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3、议价</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议价</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议价</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议价产品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1、此报价单洽谈现场提交，所有议价产品和规格型号均应详细填写完整。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必须含本次议价产品的授权内容(有效期内的授权原件备查)</w:t>
      </w:r>
    </w:p>
    <w:p w14:paraId="6D1E7833">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3235225A">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5093BC80">
      <w:pPr>
        <w:tabs>
          <w:tab w:val="left" w:pos="4860"/>
          <w:tab w:val="left" w:pos="5400"/>
          <w:tab w:val="left" w:pos="5580"/>
        </w:tabs>
        <w:ind w:left="0"/>
        <w:rPr>
          <w:rFonts w:hint="eastAsia" w:ascii="仿宋_GB2312" w:eastAsia="仿宋_GB2312"/>
          <w:bCs/>
        </w:rPr>
      </w:pPr>
    </w:p>
    <w:p w14:paraId="2952561D">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议价</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254970591"/>
            <w:bookmarkStart w:id="1" w:name="_Toc173211903"/>
            <w:bookmarkStart w:id="2" w:name="_Toc297193188"/>
            <w:bookmarkStart w:id="3" w:name="_Toc373333692"/>
            <w:bookmarkStart w:id="4" w:name="_Toc301781614"/>
            <w:bookmarkStart w:id="5" w:name="_Toc383699909"/>
            <w:bookmarkStart w:id="6" w:name="_Toc254970732"/>
            <w:bookmarkStart w:id="7" w:name="_Toc295404984"/>
            <w:bookmarkStart w:id="8" w:name="_Toc173066404"/>
            <w:bookmarkStart w:id="9" w:name="_Toc499576940"/>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373333693"/>
            <w:bookmarkStart w:id="11" w:name="_Toc173211904"/>
            <w:bookmarkStart w:id="12" w:name="_Toc499576941"/>
            <w:bookmarkStart w:id="13" w:name="_Toc297193189"/>
            <w:bookmarkStart w:id="14" w:name="_Toc254970592"/>
            <w:bookmarkStart w:id="15" w:name="_Toc173066405"/>
            <w:bookmarkStart w:id="16" w:name="_Toc254970733"/>
            <w:bookmarkStart w:id="17" w:name="_Toc301781615"/>
            <w:bookmarkStart w:id="18" w:name="_Toc383699910"/>
            <w:bookmarkStart w:id="19" w:name="_Toc295404985"/>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评审方法：最低评标价法。</w:t>
      </w:r>
    </w:p>
    <w:p w14:paraId="2EE7671D">
      <w:pPr>
        <w:pStyle w:val="4"/>
        <w:rPr>
          <w:rFonts w:hint="eastAsia" w:ascii="楷体" w:hAnsi="楷体" w:eastAsia="楷体" w:cs="楷体"/>
          <w:sz w:val="24"/>
          <w:szCs w:val="24"/>
          <w:lang w:val="en-US" w:eastAsia="zh-CN"/>
        </w:rPr>
      </w:pPr>
    </w:p>
    <w:tbl>
      <w:tblPr>
        <w:tblStyle w:val="13"/>
        <w:tblpPr w:leftFromText="180" w:rightFromText="180" w:vertAnchor="text" w:horzAnchor="page" w:tblpX="1948" w:tblpY="-483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6F935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75E3364">
            <w:pPr>
              <w:spacing w:line="360" w:lineRule="exact"/>
              <w:jc w:val="center"/>
              <w:rPr>
                <w:rFonts w:hint="eastAsia" w:ascii="宋体" w:hAnsi="宋体"/>
                <w:b/>
                <w:bCs/>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D0D0363">
            <w:pPr>
              <w:spacing w:line="360" w:lineRule="exact"/>
              <w:jc w:val="center"/>
              <w:rPr>
                <w:rFonts w:hint="eastAsia" w:ascii="宋体" w:hAnsi="宋体"/>
                <w:b/>
                <w:bCs/>
              </w:rPr>
            </w:pP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275843AC">
            <w:pPr>
              <w:pStyle w:val="7"/>
              <w:spacing w:line="360" w:lineRule="exact"/>
              <w:ind w:firstLine="422" w:firstLineChars="200"/>
              <w:jc w:val="center"/>
              <w:rPr>
                <w:rFonts w:hint="eastAsia" w:hAnsi="宋体"/>
                <w:b/>
                <w:bCs/>
                <w:kern w:val="2"/>
                <w:sz w:val="21"/>
              </w:rPr>
            </w:pPr>
          </w:p>
        </w:tc>
      </w:tr>
      <w:tr w14:paraId="47D1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4639EF69">
            <w:pPr>
              <w:spacing w:line="360" w:lineRule="exact"/>
              <w:jc w:val="center"/>
              <w:rPr>
                <w:rFonts w:ascii="宋体" w:hAnsi="宋体"/>
                <w:bCs/>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4BB92F8">
            <w:pPr>
              <w:spacing w:line="360" w:lineRule="exact"/>
              <w:jc w:val="center"/>
              <w:rPr>
                <w:rFonts w:ascii="宋体" w:hAnsi="宋体"/>
                <w:bCs/>
              </w:rPr>
            </w:pP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1E6BF5AA">
            <w:pPr>
              <w:pStyle w:val="7"/>
              <w:spacing w:line="360" w:lineRule="exact"/>
              <w:ind w:firstLine="420"/>
              <w:jc w:val="left"/>
              <w:rPr>
                <w:rFonts w:hAnsi="宋体" w:cs="Courier New"/>
                <w:bCs/>
                <w:kern w:val="2"/>
                <w:sz w:val="21"/>
                <w:u w:val="single"/>
              </w:rPr>
            </w:pPr>
          </w:p>
        </w:tc>
      </w:tr>
      <w:tr w14:paraId="0710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B73B53F">
            <w:pPr>
              <w:spacing w:line="360" w:lineRule="exact"/>
              <w:jc w:val="center"/>
              <w:rPr>
                <w:rFonts w:ascii="宋体" w:hAnsi="宋体"/>
                <w:bCs/>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9A47A2E">
            <w:pPr>
              <w:adjustRightInd w:val="0"/>
              <w:spacing w:line="360" w:lineRule="exact"/>
              <w:jc w:val="center"/>
              <w:textAlignment w:val="baseline"/>
              <w:rPr>
                <w:rFonts w:ascii="宋体" w:hAnsi="宋体"/>
                <w:bCs/>
                <w:color w:val="000000"/>
              </w:rPr>
            </w:pP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383B02B">
            <w:pPr>
              <w:pStyle w:val="7"/>
              <w:spacing w:line="360" w:lineRule="exact"/>
              <w:ind w:firstLine="402" w:firstLineChars="200"/>
              <w:jc w:val="left"/>
              <w:rPr>
                <w:rFonts w:hAnsi="宋体"/>
                <w:b/>
              </w:rPr>
            </w:pPr>
          </w:p>
        </w:tc>
      </w:tr>
      <w:tr w14:paraId="78575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6CF6A554">
            <w:pPr>
              <w:spacing w:line="360" w:lineRule="exact"/>
              <w:jc w:val="center"/>
              <w:rPr>
                <w:rFonts w:ascii="宋体" w:hAnsi="宋体"/>
                <w:bCs/>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905EF8B">
            <w:pPr>
              <w:spacing w:line="360" w:lineRule="exact"/>
              <w:jc w:val="center"/>
              <w:rPr>
                <w:rFonts w:hint="default" w:ascii="宋体" w:hAnsi="宋体" w:eastAsia="宋体"/>
                <w:bCs/>
                <w:color w:val="auto"/>
                <w:highlight w:val="yellow"/>
                <w:lang w:val="en-US" w:eastAsia="zh-CN"/>
              </w:rPr>
            </w:pP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341ED6B7">
            <w:pPr>
              <w:spacing w:line="360" w:lineRule="exact"/>
              <w:ind w:firstLine="420"/>
              <w:rPr>
                <w:rFonts w:ascii="宋体" w:hAnsi="宋体"/>
                <w:bCs/>
                <w:color w:val="auto"/>
                <w:highlight w:val="yellow"/>
              </w:rPr>
            </w:pPr>
          </w:p>
        </w:tc>
      </w:tr>
      <w:tr w14:paraId="37B1E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EBB5207">
            <w:pPr>
              <w:spacing w:line="360" w:lineRule="exact"/>
              <w:jc w:val="center"/>
              <w:rPr>
                <w:rFonts w:hint="default" w:ascii="宋体" w:hAnsi="宋体"/>
                <w:bCs/>
                <w:lang w:val="en-US" w:eastAsia="zh-CN"/>
              </w:rPr>
            </w:pPr>
          </w:p>
        </w:tc>
        <w:tc>
          <w:tcPr>
            <w:tcW w:w="1843" w:type="dxa"/>
            <w:tcBorders>
              <w:top w:val="single" w:color="000000" w:sz="4" w:space="0"/>
              <w:left w:val="nil"/>
              <w:bottom w:val="single" w:color="000000" w:sz="4" w:space="0"/>
              <w:right w:val="single" w:color="auto" w:sz="4" w:space="0"/>
            </w:tcBorders>
            <w:noWrap w:val="0"/>
            <w:vAlign w:val="center"/>
          </w:tcPr>
          <w:p w14:paraId="45714F86">
            <w:pPr>
              <w:spacing w:line="360" w:lineRule="exact"/>
              <w:jc w:val="center"/>
              <w:rPr>
                <w:rFonts w:hint="eastAsia" w:ascii="宋体" w:hAnsi="宋体" w:eastAsia="宋体" w:cs="Times New Roman"/>
                <w:lang w:val="en-US" w:eastAsia="zh-CN"/>
              </w:rPr>
            </w:pPr>
          </w:p>
        </w:tc>
        <w:tc>
          <w:tcPr>
            <w:tcW w:w="5812" w:type="dxa"/>
            <w:tcBorders>
              <w:top w:val="single" w:color="000000" w:sz="4" w:space="0"/>
              <w:left w:val="nil"/>
              <w:bottom w:val="single" w:color="000000" w:sz="4" w:space="0"/>
              <w:right w:val="single" w:color="auto" w:sz="4" w:space="0"/>
            </w:tcBorders>
            <w:noWrap w:val="0"/>
            <w:vAlign w:val="top"/>
          </w:tcPr>
          <w:p w14:paraId="6A42D237">
            <w:pPr>
              <w:spacing w:line="360" w:lineRule="exact"/>
              <w:ind w:firstLine="420"/>
              <w:rPr>
                <w:rFonts w:hint="eastAsia" w:ascii="宋体" w:hAnsi="宋体" w:eastAsia="宋体" w:cs="宋体"/>
                <w:kern w:val="0"/>
                <w:szCs w:val="21"/>
                <w:lang w:val="en-US" w:eastAsia="zh-CN"/>
              </w:rPr>
            </w:pPr>
          </w:p>
        </w:tc>
      </w:tr>
      <w:tr w14:paraId="7CD43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F91E933">
            <w:pPr>
              <w:spacing w:line="360" w:lineRule="exact"/>
              <w:jc w:val="center"/>
              <w:rPr>
                <w:rFonts w:hint="default" w:ascii="宋体" w:hAnsi="宋体"/>
                <w:bCs/>
                <w:lang w:val="en-US" w:eastAsia="zh-CN"/>
              </w:rPr>
            </w:pPr>
          </w:p>
        </w:tc>
        <w:tc>
          <w:tcPr>
            <w:tcW w:w="1843" w:type="dxa"/>
            <w:tcBorders>
              <w:top w:val="single" w:color="000000" w:sz="4" w:space="0"/>
              <w:left w:val="nil"/>
              <w:bottom w:val="single" w:color="000000" w:sz="4" w:space="0"/>
              <w:right w:val="single" w:color="auto" w:sz="4" w:space="0"/>
            </w:tcBorders>
            <w:noWrap w:val="0"/>
            <w:vAlign w:val="center"/>
          </w:tcPr>
          <w:p w14:paraId="0C9BABA2">
            <w:pPr>
              <w:spacing w:line="360" w:lineRule="exact"/>
              <w:jc w:val="center"/>
              <w:rPr>
                <w:rFonts w:hint="eastAsia" w:ascii="宋体" w:hAnsi="宋体"/>
                <w:bCs/>
                <w:lang w:val="en-US" w:eastAsia="zh-CN"/>
              </w:rPr>
            </w:pPr>
          </w:p>
        </w:tc>
        <w:tc>
          <w:tcPr>
            <w:tcW w:w="5812" w:type="dxa"/>
            <w:tcBorders>
              <w:top w:val="single" w:color="000000" w:sz="4" w:space="0"/>
              <w:left w:val="nil"/>
              <w:bottom w:val="single" w:color="000000" w:sz="4" w:space="0"/>
              <w:right w:val="single" w:color="auto" w:sz="4" w:space="0"/>
            </w:tcBorders>
            <w:noWrap w:val="0"/>
            <w:vAlign w:val="top"/>
          </w:tcPr>
          <w:p w14:paraId="5AAE926A">
            <w:pPr>
              <w:spacing w:line="360" w:lineRule="exact"/>
              <w:ind w:firstLine="420"/>
              <w:rPr>
                <w:rFonts w:hint="eastAsia" w:ascii="宋体" w:hAnsi="宋体" w:eastAsia="宋体" w:cs="宋体"/>
                <w:kern w:val="0"/>
                <w:szCs w:val="21"/>
                <w:lang w:val="en-US" w:eastAsia="zh-CN"/>
              </w:rPr>
            </w:pPr>
          </w:p>
        </w:tc>
      </w:tr>
      <w:tr w14:paraId="46F57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445CE6D5">
            <w:pPr>
              <w:spacing w:line="360" w:lineRule="exact"/>
              <w:jc w:val="center"/>
              <w:rPr>
                <w:rFonts w:hint="default" w:ascii="宋体" w:hAnsi="宋体"/>
                <w:bCs/>
                <w:lang w:val="en-US" w:eastAsia="zh-CN"/>
              </w:rPr>
            </w:pPr>
          </w:p>
        </w:tc>
        <w:tc>
          <w:tcPr>
            <w:tcW w:w="1843" w:type="dxa"/>
            <w:tcBorders>
              <w:top w:val="single" w:color="000000" w:sz="4" w:space="0"/>
              <w:left w:val="nil"/>
              <w:bottom w:val="single" w:color="000000" w:sz="4" w:space="0"/>
              <w:right w:val="single" w:color="auto" w:sz="4" w:space="0"/>
            </w:tcBorders>
            <w:noWrap w:val="0"/>
            <w:vAlign w:val="center"/>
          </w:tcPr>
          <w:p w14:paraId="46DF241A">
            <w:pPr>
              <w:spacing w:line="360" w:lineRule="exact"/>
              <w:jc w:val="center"/>
              <w:rPr>
                <w:rFonts w:hint="eastAsia" w:ascii="宋体" w:hAnsi="宋体"/>
                <w:bCs/>
                <w:kern w:val="2"/>
                <w:sz w:val="21"/>
                <w:szCs w:val="24"/>
                <w:lang w:val="en-US" w:eastAsia="zh-CN" w:bidi="ar-SA"/>
              </w:rPr>
            </w:pPr>
          </w:p>
        </w:tc>
        <w:tc>
          <w:tcPr>
            <w:tcW w:w="5812" w:type="dxa"/>
            <w:tcBorders>
              <w:top w:val="single" w:color="000000" w:sz="4" w:space="0"/>
              <w:left w:val="nil"/>
              <w:bottom w:val="single" w:color="000000" w:sz="4" w:space="0"/>
              <w:right w:val="single" w:color="auto" w:sz="4" w:space="0"/>
            </w:tcBorders>
            <w:noWrap w:val="0"/>
            <w:vAlign w:val="top"/>
          </w:tcPr>
          <w:p w14:paraId="7EE9F297">
            <w:pPr>
              <w:spacing w:line="360" w:lineRule="exact"/>
              <w:ind w:firstLine="420" w:firstLineChars="200"/>
              <w:rPr>
                <w:rFonts w:hint="eastAsia" w:ascii="宋体" w:hAnsi="宋体" w:cs="Courier New"/>
                <w:kern w:val="2"/>
                <w:sz w:val="21"/>
                <w:szCs w:val="24"/>
                <w:lang w:val="en-US" w:eastAsia="zh-CN" w:bidi="ar-SA"/>
              </w:rPr>
            </w:pPr>
          </w:p>
        </w:tc>
      </w:tr>
      <w:tr w14:paraId="0BA5D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7B3A43C"/>
        </w:tc>
      </w:tr>
    </w:tbl>
    <w:p w14:paraId="50C7506C">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bookmarkStart w:id="21" w:name="_GoBack"/>
      <w:bookmarkEnd w:id="21"/>
    </w:p>
    <w:p w14:paraId="637EE653">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AD93"/>
    <w:multiLevelType w:val="singleLevel"/>
    <w:tmpl w:val="987AAD93"/>
    <w:lvl w:ilvl="0" w:tentative="0">
      <w:start w:val="2"/>
      <w:numFmt w:val="chineseCounting"/>
      <w:suff w:val="space"/>
      <w:lvlText w:val="第%1章"/>
      <w:lvlJc w:val="left"/>
      <w:rPr>
        <w:rFonts w:hint="eastAsia"/>
      </w:rPr>
    </w:lvl>
  </w:abstractNum>
  <w:abstractNum w:abstractNumId="1">
    <w:nsid w:val="9D20800B"/>
    <w:multiLevelType w:val="singleLevel"/>
    <w:tmpl w:val="9D20800B"/>
    <w:lvl w:ilvl="0" w:tentative="0">
      <w:start w:val="3"/>
      <w:numFmt w:val="chineseCounting"/>
      <w:suff w:val="nothing"/>
      <w:lvlText w:val="%1、"/>
      <w:lvlJc w:val="left"/>
      <w:rPr>
        <w:rFonts w:hint="eastAsia"/>
      </w:rPr>
    </w:lvl>
  </w:abstractNum>
  <w:abstractNum w:abstractNumId="2">
    <w:nsid w:val="BF25095E"/>
    <w:multiLevelType w:val="singleLevel"/>
    <w:tmpl w:val="BF25095E"/>
    <w:lvl w:ilvl="0" w:tentative="0">
      <w:start w:val="1"/>
      <w:numFmt w:val="decimal"/>
      <w:suff w:val="nothing"/>
      <w:lvlText w:val="%1、"/>
      <w:lvlJc w:val="left"/>
    </w:lvl>
  </w:abstractNum>
  <w:abstractNum w:abstractNumId="3">
    <w:nsid w:val="CB8D18EA"/>
    <w:multiLevelType w:val="singleLevel"/>
    <w:tmpl w:val="CB8D18EA"/>
    <w:lvl w:ilvl="0" w:tentative="0">
      <w:start w:val="1"/>
      <w:numFmt w:val="chineseCounting"/>
      <w:suff w:val="nothing"/>
      <w:lvlText w:val="%1、"/>
      <w:lvlJc w:val="left"/>
      <w:rPr>
        <w:rFonts w:hint="eastAsia"/>
      </w:rPr>
    </w:lvl>
  </w:abstractNum>
  <w:abstractNum w:abstractNumId="4">
    <w:nsid w:val="D906367E"/>
    <w:multiLevelType w:val="singleLevel"/>
    <w:tmpl w:val="D906367E"/>
    <w:lvl w:ilvl="0" w:tentative="0">
      <w:start w:val="3"/>
      <w:numFmt w:val="chineseCounting"/>
      <w:suff w:val="space"/>
      <w:lvlText w:val="第%1章"/>
      <w:lvlJc w:val="left"/>
      <w:rPr>
        <w:rFonts w:hint="eastAsia"/>
      </w:rPr>
    </w:lvl>
  </w:abstractNum>
  <w:abstractNum w:abstractNumId="5">
    <w:nsid w:val="0F166208"/>
    <w:multiLevelType w:val="singleLevel"/>
    <w:tmpl w:val="0F166208"/>
    <w:lvl w:ilvl="0" w:tentative="0">
      <w:start w:val="1"/>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3A17048"/>
    <w:rsid w:val="03B077DC"/>
    <w:rsid w:val="06CE3F4F"/>
    <w:rsid w:val="09956A01"/>
    <w:rsid w:val="09FC6C3A"/>
    <w:rsid w:val="0F90726D"/>
    <w:rsid w:val="10C45D0D"/>
    <w:rsid w:val="153558A9"/>
    <w:rsid w:val="17DC7524"/>
    <w:rsid w:val="187D706F"/>
    <w:rsid w:val="1B8850B1"/>
    <w:rsid w:val="26F93E2D"/>
    <w:rsid w:val="2831053B"/>
    <w:rsid w:val="2C277F22"/>
    <w:rsid w:val="2D471155"/>
    <w:rsid w:val="2DFB7239"/>
    <w:rsid w:val="30405223"/>
    <w:rsid w:val="31F2600B"/>
    <w:rsid w:val="34630C21"/>
    <w:rsid w:val="360E6C0C"/>
    <w:rsid w:val="36511F38"/>
    <w:rsid w:val="388D7A9A"/>
    <w:rsid w:val="3D45031D"/>
    <w:rsid w:val="41626E2E"/>
    <w:rsid w:val="442C2DC6"/>
    <w:rsid w:val="46633EB2"/>
    <w:rsid w:val="46A56191"/>
    <w:rsid w:val="4E1F4272"/>
    <w:rsid w:val="4F42290E"/>
    <w:rsid w:val="5A3F7144"/>
    <w:rsid w:val="5AFF287E"/>
    <w:rsid w:val="5C76637A"/>
    <w:rsid w:val="5FF506FB"/>
    <w:rsid w:val="639A5A00"/>
    <w:rsid w:val="6505684A"/>
    <w:rsid w:val="684A3254"/>
    <w:rsid w:val="68B61ABE"/>
    <w:rsid w:val="69615509"/>
    <w:rsid w:val="70966801"/>
    <w:rsid w:val="717C53B4"/>
    <w:rsid w:val="76A531ED"/>
    <w:rsid w:val="7B744ADE"/>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31"/>
    <w:basedOn w:val="15"/>
    <w:qFormat/>
    <w:uiPriority w:val="0"/>
    <w:rPr>
      <w:rFonts w:hint="default" w:ascii="Times New Roman" w:hAnsi="Times New Roman" w:cs="Times New Roman"/>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2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1369</Words>
  <Characters>1472</Characters>
  <Lines>1</Lines>
  <Paragraphs>1</Paragraphs>
  <TotalTime>21</TotalTime>
  <ScaleCrop>false</ScaleCrop>
  <LinksUpToDate>false</LinksUpToDate>
  <CharactersWithSpaces>1552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2024-12-05T01:20:58Z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1C66CA0D698B4AD1BB19BBE5B34CF84E_13</vt:lpwstr>
  </property>
</Properties>
</file>