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61EA8">
      <w:pPr>
        <w:rPr>
          <w:rFonts w:hint="default" w:eastAsiaTheme="minorEastAsia"/>
          <w:color w:val="auto"/>
          <w:sz w:val="24"/>
          <w:szCs w:val="24"/>
          <w:highlight w:val="none"/>
          <w:lang w:val="en-US" w:eastAsia="zh-CN"/>
        </w:rPr>
      </w:pPr>
      <w:r>
        <w:rPr>
          <w:rFonts w:hint="eastAsia"/>
          <w:color w:val="auto"/>
          <w:sz w:val="24"/>
          <w:szCs w:val="24"/>
          <w:highlight w:val="none"/>
          <w:lang w:val="en-US" w:eastAsia="zh-CN"/>
        </w:rPr>
        <w:t>附件：</w:t>
      </w:r>
    </w:p>
    <w:p w14:paraId="662039FD">
      <w:pPr>
        <w:rPr>
          <w:color w:val="auto"/>
          <w:highlight w:val="none"/>
        </w:rPr>
      </w:pPr>
    </w:p>
    <w:p w14:paraId="402D79CB">
      <w:pPr>
        <w:rPr>
          <w:color w:val="auto"/>
          <w:highlight w:val="none"/>
        </w:rPr>
      </w:pPr>
    </w:p>
    <w:p w14:paraId="461790F2">
      <w:pPr>
        <w:rPr>
          <w:color w:val="auto"/>
          <w:highlight w:val="none"/>
        </w:rPr>
      </w:pPr>
    </w:p>
    <w:p w14:paraId="61E942F1">
      <w:pPr>
        <w:jc w:val="center"/>
        <w:rPr>
          <w:rFonts w:hint="eastAsia"/>
          <w:color w:val="auto"/>
          <w:sz w:val="32"/>
          <w:szCs w:val="32"/>
          <w:highlight w:val="none"/>
          <w:lang w:val="en-US" w:eastAsia="zh-CN"/>
        </w:rPr>
      </w:pPr>
      <w:r>
        <w:rPr>
          <w:rFonts w:hint="eastAsia"/>
          <w:color w:val="auto"/>
          <w:sz w:val="32"/>
          <w:szCs w:val="32"/>
          <w:highlight w:val="none"/>
          <w:lang w:val="en-US" w:eastAsia="zh-CN"/>
        </w:rPr>
        <w:t>项目需求</w:t>
      </w:r>
    </w:p>
    <w:p w14:paraId="1E309F36">
      <w:pPr>
        <w:pStyle w:val="21"/>
        <w:widowControl/>
        <w:ind w:firstLine="0" w:firstLineChars="0"/>
        <w:rPr>
          <w:rFonts w:hint="eastAsia" w:ascii="宋体" w:hAnsi="宋体" w:cs="宋体"/>
          <w:b/>
          <w:bCs/>
          <w:color w:val="auto"/>
          <w:sz w:val="24"/>
          <w:highlight w:val="none"/>
        </w:rPr>
      </w:pPr>
      <w:r>
        <w:rPr>
          <w:rFonts w:hint="eastAsia" w:ascii="宋体" w:hAnsi="宋体" w:cs="宋体"/>
          <w:b/>
          <w:bCs/>
          <w:color w:val="auto"/>
          <w:sz w:val="24"/>
          <w:highlight w:val="none"/>
        </w:rPr>
        <w:t>（一）技术参数要求</w:t>
      </w:r>
    </w:p>
    <w:p w14:paraId="40892888">
      <w:pPr>
        <w:pStyle w:val="21"/>
        <w:widowControl/>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标注▲为重要技术参数及性能配置要求必须满足，如有要求提供相关证明，必须提供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否则</w:t>
      </w:r>
      <w:r>
        <w:rPr>
          <w:rFonts w:hint="eastAsia" w:ascii="宋体" w:hAnsi="宋体" w:cs="宋体"/>
          <w:color w:val="auto"/>
          <w:szCs w:val="21"/>
          <w:highlight w:val="none"/>
        </w:rPr>
        <w:t>取消谈判资格。</w:t>
      </w:r>
      <w:bookmarkStart w:id="0" w:name="_GoBack"/>
      <w:bookmarkEnd w:id="0"/>
    </w:p>
    <w:p w14:paraId="05892EE6">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由于本项目完成时间紧迫，为避免虚假应标给采购人造成损失，谈判时，评委认为供应商存在虚假应标情况可要求提供现场演示，演示效果不满足采购需求的，视为未实质性响应谈判文件要求，取消谈判资格。</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1"/>
        <w:gridCol w:w="781"/>
        <w:gridCol w:w="21"/>
        <w:gridCol w:w="803"/>
        <w:gridCol w:w="5214"/>
        <w:gridCol w:w="1172"/>
      </w:tblGrid>
      <w:tr w14:paraId="26CDF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4B2BF342">
            <w:pPr>
              <w:rPr>
                <w:rFonts w:ascii="宋体" w:hAnsi="宋体" w:cs="宋体"/>
                <w:color w:val="auto"/>
                <w:sz w:val="22"/>
                <w:szCs w:val="22"/>
                <w:highlight w:val="none"/>
              </w:rPr>
            </w:pPr>
            <w:r>
              <w:rPr>
                <w:rFonts w:hint="eastAsia" w:ascii="宋体" w:hAnsi="宋体" w:cs="宋体"/>
                <w:b/>
                <w:bCs/>
                <w:color w:val="auto"/>
                <w:kern w:val="0"/>
                <w:szCs w:val="21"/>
                <w:highlight w:val="none"/>
              </w:rPr>
              <w:t>序号</w:t>
            </w:r>
          </w:p>
        </w:tc>
        <w:tc>
          <w:tcPr>
            <w:tcW w:w="781" w:type="dxa"/>
            <w:noWrap w:val="0"/>
            <w:vAlign w:val="center"/>
          </w:tcPr>
          <w:p w14:paraId="2B22E90B">
            <w:pPr>
              <w:rPr>
                <w:rFonts w:ascii="宋体" w:hAnsi="宋体" w:cs="宋体"/>
                <w:color w:val="auto"/>
                <w:sz w:val="22"/>
                <w:szCs w:val="22"/>
                <w:highlight w:val="none"/>
              </w:rPr>
            </w:pPr>
            <w:r>
              <w:rPr>
                <w:rFonts w:hint="eastAsia" w:ascii="宋体" w:hAnsi="宋体" w:cs="宋体"/>
                <w:b/>
                <w:bCs/>
                <w:color w:val="auto"/>
                <w:kern w:val="0"/>
                <w:szCs w:val="21"/>
                <w:highlight w:val="none"/>
              </w:rPr>
              <w:t>指标项</w:t>
            </w:r>
          </w:p>
        </w:tc>
        <w:tc>
          <w:tcPr>
            <w:tcW w:w="824" w:type="dxa"/>
            <w:gridSpan w:val="2"/>
            <w:noWrap w:val="0"/>
            <w:vAlign w:val="center"/>
          </w:tcPr>
          <w:p w14:paraId="2131903C">
            <w:pPr>
              <w:rPr>
                <w:rFonts w:ascii="宋体" w:hAnsi="宋体" w:cs="宋体"/>
                <w:color w:val="auto"/>
                <w:sz w:val="22"/>
                <w:szCs w:val="22"/>
                <w:highlight w:val="none"/>
              </w:rPr>
            </w:pPr>
            <w:r>
              <w:rPr>
                <w:rFonts w:hint="eastAsia" w:ascii="宋体" w:hAnsi="宋体" w:cs="宋体"/>
                <w:b/>
                <w:bCs/>
                <w:color w:val="auto"/>
                <w:kern w:val="0"/>
                <w:szCs w:val="21"/>
                <w:highlight w:val="none"/>
              </w:rPr>
              <w:t>功能名称</w:t>
            </w:r>
          </w:p>
        </w:tc>
        <w:tc>
          <w:tcPr>
            <w:tcW w:w="5214" w:type="dxa"/>
            <w:noWrap w:val="0"/>
            <w:vAlign w:val="center"/>
          </w:tcPr>
          <w:p w14:paraId="0F257EDA">
            <w:pPr>
              <w:rPr>
                <w:rFonts w:ascii="宋体" w:hAnsi="宋体" w:cs="宋体"/>
                <w:color w:val="auto"/>
                <w:sz w:val="22"/>
                <w:szCs w:val="22"/>
                <w:highlight w:val="none"/>
              </w:rPr>
            </w:pPr>
            <w:r>
              <w:rPr>
                <w:rFonts w:hint="eastAsia" w:ascii="宋体" w:hAnsi="宋体" w:cs="宋体"/>
                <w:b/>
                <w:bCs/>
                <w:color w:val="auto"/>
                <w:kern w:val="0"/>
                <w:szCs w:val="21"/>
                <w:highlight w:val="none"/>
              </w:rPr>
              <w:t>指标要求</w:t>
            </w:r>
          </w:p>
        </w:tc>
        <w:tc>
          <w:tcPr>
            <w:tcW w:w="1172" w:type="dxa"/>
            <w:noWrap w:val="0"/>
            <w:vAlign w:val="center"/>
          </w:tcPr>
          <w:p w14:paraId="3D44D008">
            <w:pPr>
              <w:rPr>
                <w:rFonts w:ascii="宋体" w:hAnsi="宋体" w:cs="宋体"/>
                <w:color w:val="auto"/>
                <w:sz w:val="22"/>
                <w:szCs w:val="22"/>
                <w:highlight w:val="none"/>
              </w:rPr>
            </w:pPr>
            <w:r>
              <w:rPr>
                <w:rFonts w:hint="eastAsia" w:ascii="宋体" w:hAnsi="宋体" w:cs="宋体"/>
                <w:b/>
                <w:bCs/>
                <w:color w:val="auto"/>
                <w:kern w:val="0"/>
                <w:szCs w:val="21"/>
                <w:highlight w:val="none"/>
              </w:rPr>
              <w:t>备注</w:t>
            </w:r>
          </w:p>
        </w:tc>
      </w:tr>
      <w:tr w14:paraId="0EFCF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5F7B9FD4">
            <w:pPr>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p>
        </w:tc>
        <w:tc>
          <w:tcPr>
            <w:tcW w:w="781" w:type="dxa"/>
            <w:noWrap w:val="0"/>
            <w:vAlign w:val="center"/>
          </w:tcPr>
          <w:p w14:paraId="62E2C0E4">
            <w:pPr>
              <w:rPr>
                <w:rFonts w:hint="eastAsia" w:ascii="宋体" w:hAnsi="宋体" w:cs="宋体"/>
                <w:color w:val="auto"/>
                <w:szCs w:val="21"/>
                <w:highlight w:val="none"/>
              </w:rPr>
            </w:pPr>
            <w:r>
              <w:rPr>
                <w:rFonts w:hint="eastAsia" w:ascii="宋体" w:hAnsi="宋体" w:cs="宋体"/>
                <w:color w:val="auto"/>
                <w:szCs w:val="21"/>
                <w:highlight w:val="none"/>
              </w:rPr>
              <w:t>评审条款</w:t>
            </w:r>
          </w:p>
        </w:tc>
        <w:tc>
          <w:tcPr>
            <w:tcW w:w="824" w:type="dxa"/>
            <w:gridSpan w:val="2"/>
            <w:noWrap w:val="0"/>
            <w:vAlign w:val="center"/>
          </w:tcPr>
          <w:p w14:paraId="3C0D0985">
            <w:pPr>
              <w:rPr>
                <w:rFonts w:ascii="宋体" w:hAnsi="宋体" w:cs="宋体"/>
                <w:color w:val="auto"/>
                <w:szCs w:val="21"/>
                <w:highlight w:val="none"/>
              </w:rPr>
            </w:pPr>
            <w:r>
              <w:rPr>
                <w:rFonts w:hint="eastAsia" w:ascii="宋体" w:hAnsi="宋体" w:cs="宋体"/>
                <w:color w:val="auto"/>
                <w:szCs w:val="21"/>
                <w:highlight w:val="none"/>
              </w:rPr>
              <w:t>任务进度工作台</w:t>
            </w:r>
          </w:p>
        </w:tc>
        <w:tc>
          <w:tcPr>
            <w:tcW w:w="5214" w:type="dxa"/>
            <w:noWrap w:val="0"/>
            <w:vAlign w:val="center"/>
          </w:tcPr>
          <w:p w14:paraId="313CADCF">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自评</w:t>
            </w:r>
            <w:r>
              <w:rPr>
                <w:rFonts w:hint="eastAsia" w:ascii="宋体" w:hAnsi="宋体" w:cs="宋体"/>
                <w:color w:val="auto"/>
                <w:szCs w:val="21"/>
                <w:highlight w:val="none"/>
              </w:rPr>
              <w:t>得分，以图表的形态按照批次评审和专家组评审分别统计总分，并且按照章节维度和各专家组维度进行分数统计任务情况，统计当前用户自己的任务总量、已完成、未完成任务量完成进度，以每章维度和各评审身份为维度进行进度统计，可直接查看公告内容，展现当前已读、未读公告消息的列表。</w:t>
            </w:r>
          </w:p>
        </w:tc>
        <w:tc>
          <w:tcPr>
            <w:tcW w:w="1172" w:type="dxa"/>
            <w:noWrap w:val="0"/>
            <w:vAlign w:val="top"/>
          </w:tcPr>
          <w:p w14:paraId="320C7F5C">
            <w:pPr>
              <w:jc w:val="left"/>
              <w:rPr>
                <w:rFonts w:hint="default" w:ascii="宋体" w:hAnsi="宋体" w:eastAsia="宋体" w:cs="宋体"/>
                <w:color w:val="auto"/>
                <w:szCs w:val="21"/>
                <w:highlight w:val="none"/>
                <w:lang w:val="en-US" w:eastAsia="zh-CN"/>
              </w:rPr>
            </w:pPr>
          </w:p>
        </w:tc>
      </w:tr>
      <w:tr w14:paraId="70190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98D524F">
            <w:pP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p>
        </w:tc>
        <w:tc>
          <w:tcPr>
            <w:tcW w:w="781" w:type="dxa"/>
            <w:vMerge w:val="restart"/>
            <w:noWrap w:val="0"/>
            <w:vAlign w:val="center"/>
          </w:tcPr>
          <w:p w14:paraId="4698C555">
            <w:pPr>
              <w:widowControl/>
              <w:rPr>
                <w:rFonts w:hint="eastAsia" w:ascii="宋体" w:hAnsi="宋体" w:cs="宋体"/>
                <w:color w:val="auto"/>
                <w:szCs w:val="21"/>
                <w:highlight w:val="none"/>
              </w:rPr>
            </w:pPr>
            <w:r>
              <w:rPr>
                <w:rFonts w:hint="eastAsia" w:ascii="宋体" w:hAnsi="宋体" w:cs="宋体"/>
                <w:color w:val="auto"/>
                <w:szCs w:val="21"/>
                <w:highlight w:val="none"/>
              </w:rPr>
              <w:t>医疗质量指标监测体系</w:t>
            </w:r>
          </w:p>
        </w:tc>
        <w:tc>
          <w:tcPr>
            <w:tcW w:w="824" w:type="dxa"/>
            <w:gridSpan w:val="2"/>
            <w:noWrap w:val="0"/>
            <w:vAlign w:val="center"/>
          </w:tcPr>
          <w:p w14:paraId="1B81CBD9">
            <w:pPr>
              <w:widowControl/>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搭建指标体系</w:t>
            </w:r>
          </w:p>
        </w:tc>
        <w:tc>
          <w:tcPr>
            <w:tcW w:w="5214" w:type="dxa"/>
            <w:noWrap w:val="0"/>
            <w:vAlign w:val="top"/>
          </w:tcPr>
          <w:p w14:paraId="61E55A6F">
            <w:pPr>
              <w:rPr>
                <w:rFonts w:hint="eastAsia" w:ascii="宋体" w:hAnsi="宋体" w:cs="宋体"/>
                <w:color w:val="auto"/>
                <w:szCs w:val="21"/>
                <w:highlight w:val="none"/>
              </w:rPr>
            </w:pPr>
            <w:r>
              <w:rPr>
                <w:rFonts w:hint="eastAsia" w:ascii="宋体" w:hAnsi="宋体" w:cs="宋体"/>
                <w:color w:val="auto"/>
                <w:szCs w:val="21"/>
                <w:highlight w:val="none"/>
              </w:rPr>
              <w:t>根据《广西壮族自治区三级生殖专科医院评审标准实施细则 （2023年版）》指标体系要求，</w:t>
            </w:r>
            <w:r>
              <w:rPr>
                <w:rFonts w:hint="eastAsia" w:ascii="宋体" w:hAnsi="宋体" w:cs="宋体"/>
                <w:color w:val="auto"/>
                <w:szCs w:val="21"/>
                <w:highlight w:val="none"/>
                <w:lang w:val="en-US" w:eastAsia="zh-CN"/>
              </w:rPr>
              <w:t>搭建第一部分、第二部分、第三部分完整的指标体系</w:t>
            </w:r>
            <w:r>
              <w:rPr>
                <w:rFonts w:hint="eastAsia" w:ascii="宋体" w:hAnsi="宋体" w:cs="宋体"/>
                <w:color w:val="auto"/>
                <w:szCs w:val="21"/>
                <w:highlight w:val="none"/>
              </w:rPr>
              <w:t>，为评审提供有力支撑，</w:t>
            </w:r>
            <w:r>
              <w:rPr>
                <w:rFonts w:hint="eastAsia" w:ascii="宋体" w:hAnsi="宋体" w:cs="宋体"/>
                <w:color w:val="auto"/>
                <w:kern w:val="0"/>
                <w:szCs w:val="21"/>
                <w:highlight w:val="none"/>
                <w:lang w:bidi="ar"/>
              </w:rPr>
              <w:t>指标体系支持根据国家最新要求动态调整。</w:t>
            </w:r>
          </w:p>
        </w:tc>
        <w:tc>
          <w:tcPr>
            <w:tcW w:w="1172" w:type="dxa"/>
            <w:noWrap w:val="0"/>
            <w:vAlign w:val="top"/>
          </w:tcPr>
          <w:p w14:paraId="2B812965">
            <w:pPr>
              <w:jc w:val="left"/>
              <w:rPr>
                <w:rFonts w:hint="eastAsia" w:ascii="宋体" w:hAnsi="宋体" w:cs="宋体"/>
                <w:color w:val="auto"/>
                <w:szCs w:val="21"/>
                <w:highlight w:val="none"/>
              </w:rPr>
            </w:pPr>
          </w:p>
        </w:tc>
      </w:tr>
      <w:tr w14:paraId="779C9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1B09E21C">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81" w:type="dxa"/>
            <w:vMerge w:val="continue"/>
            <w:noWrap w:val="0"/>
            <w:vAlign w:val="center"/>
          </w:tcPr>
          <w:p w14:paraId="0988D371">
            <w:pPr>
              <w:widowControl/>
              <w:rPr>
                <w:rFonts w:hint="eastAsia" w:ascii="宋体" w:hAnsi="宋体" w:cs="宋体"/>
                <w:color w:val="auto"/>
                <w:szCs w:val="21"/>
                <w:highlight w:val="none"/>
              </w:rPr>
            </w:pPr>
          </w:p>
        </w:tc>
        <w:tc>
          <w:tcPr>
            <w:tcW w:w="824" w:type="dxa"/>
            <w:gridSpan w:val="2"/>
            <w:noWrap w:val="0"/>
            <w:vAlign w:val="center"/>
          </w:tcPr>
          <w:p w14:paraId="27333DD2">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指标扩展功能</w:t>
            </w:r>
          </w:p>
        </w:tc>
        <w:tc>
          <w:tcPr>
            <w:tcW w:w="5214" w:type="dxa"/>
            <w:noWrap w:val="0"/>
            <w:vAlign w:val="top"/>
          </w:tcPr>
          <w:p w14:paraId="176FF2E5">
            <w:pPr>
              <w:rPr>
                <w:rFonts w:hint="eastAsia" w:ascii="宋体" w:hAnsi="宋体" w:cs="宋体"/>
                <w:color w:val="auto"/>
                <w:szCs w:val="21"/>
                <w:highlight w:val="none"/>
              </w:rPr>
            </w:pPr>
            <w:r>
              <w:rPr>
                <w:rFonts w:hint="eastAsia" w:ascii="宋体" w:hAnsi="宋体" w:cs="宋体"/>
                <w:color w:val="auto"/>
                <w:szCs w:val="21"/>
                <w:highlight w:val="none"/>
              </w:rPr>
              <w:t>指标库管理与扩展，支持</w:t>
            </w:r>
            <w:r>
              <w:rPr>
                <w:rFonts w:hint="eastAsia" w:ascii="宋体" w:hAnsi="宋体" w:cs="宋体"/>
                <w:color w:val="auto"/>
                <w:szCs w:val="21"/>
                <w:highlight w:val="none"/>
                <w:lang w:val="en-US" w:eastAsia="zh-CN"/>
              </w:rPr>
              <w:t>用户自行操作</w:t>
            </w:r>
            <w:r>
              <w:rPr>
                <w:rFonts w:hint="eastAsia" w:ascii="宋体" w:hAnsi="宋体" w:cs="宋体"/>
                <w:color w:val="auto"/>
                <w:szCs w:val="21"/>
                <w:highlight w:val="none"/>
              </w:rPr>
              <w:t>新增指标体系，</w:t>
            </w:r>
            <w:r>
              <w:rPr>
                <w:rFonts w:hint="eastAsia" w:ascii="宋体" w:hAnsi="宋体" w:cs="宋体"/>
                <w:color w:val="auto"/>
                <w:kern w:val="0"/>
                <w:szCs w:val="21"/>
                <w:highlight w:val="none"/>
                <w:lang w:bidi="ar"/>
              </w:rPr>
              <w:t>遵循但不限于</w:t>
            </w:r>
            <w:r>
              <w:rPr>
                <w:rFonts w:hint="eastAsia" w:ascii="宋体" w:hAnsi="宋体" w:cs="宋体"/>
                <w:color w:val="auto"/>
                <w:szCs w:val="21"/>
                <w:highlight w:val="none"/>
              </w:rPr>
              <w:t>《广西壮族自治区三级生殖专科医院评审标准实施细则 （2023年版）》</w:t>
            </w:r>
            <w:r>
              <w:rPr>
                <w:rFonts w:hint="eastAsia" w:ascii="宋体" w:hAnsi="宋体" w:cs="宋体"/>
                <w:color w:val="auto"/>
                <w:kern w:val="0"/>
                <w:szCs w:val="21"/>
                <w:highlight w:val="none"/>
                <w:lang w:bidi="ar"/>
              </w:rPr>
              <w:t>中的指标，</w:t>
            </w:r>
            <w:r>
              <w:rPr>
                <w:rFonts w:hint="eastAsia" w:ascii="宋体" w:hAnsi="宋体" w:cs="宋体"/>
                <w:color w:val="auto"/>
                <w:szCs w:val="21"/>
                <w:highlight w:val="none"/>
              </w:rPr>
              <w:t>按体系维护相关指标，使指标的管理更有条理，使用更方便，支持章节条款要点进行内容或序号搜索快速查找定位条款。</w:t>
            </w:r>
          </w:p>
        </w:tc>
        <w:tc>
          <w:tcPr>
            <w:tcW w:w="1172" w:type="dxa"/>
            <w:noWrap w:val="0"/>
            <w:vAlign w:val="top"/>
          </w:tcPr>
          <w:p w14:paraId="638E1160">
            <w:pPr>
              <w:jc w:val="left"/>
              <w:rPr>
                <w:rFonts w:hint="eastAsia" w:ascii="宋体" w:hAnsi="宋体" w:cs="宋体"/>
                <w:color w:val="auto"/>
                <w:szCs w:val="21"/>
                <w:highlight w:val="none"/>
              </w:rPr>
            </w:pPr>
          </w:p>
        </w:tc>
      </w:tr>
      <w:tr w14:paraId="49DCE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719F04E1">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c>
          <w:tcPr>
            <w:tcW w:w="781" w:type="dxa"/>
            <w:vMerge w:val="continue"/>
            <w:noWrap w:val="0"/>
            <w:vAlign w:val="center"/>
          </w:tcPr>
          <w:p w14:paraId="6B290A49">
            <w:pPr>
              <w:widowControl/>
              <w:rPr>
                <w:rFonts w:hint="eastAsia" w:ascii="宋体" w:hAnsi="宋体" w:cs="宋体"/>
                <w:color w:val="auto"/>
                <w:szCs w:val="21"/>
                <w:highlight w:val="none"/>
              </w:rPr>
            </w:pPr>
          </w:p>
        </w:tc>
        <w:tc>
          <w:tcPr>
            <w:tcW w:w="824" w:type="dxa"/>
            <w:gridSpan w:val="2"/>
            <w:noWrap w:val="0"/>
            <w:vAlign w:val="center"/>
          </w:tcPr>
          <w:p w14:paraId="11CC54CD">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指标解读功能</w:t>
            </w:r>
          </w:p>
        </w:tc>
        <w:tc>
          <w:tcPr>
            <w:tcW w:w="5214" w:type="dxa"/>
            <w:noWrap w:val="0"/>
            <w:vAlign w:val="top"/>
          </w:tcPr>
          <w:p w14:paraId="48735A9D">
            <w:pPr>
              <w:rPr>
                <w:rFonts w:ascii="宋体" w:hAnsi="宋体" w:cs="宋体"/>
                <w:color w:val="auto"/>
                <w:szCs w:val="21"/>
                <w:highlight w:val="none"/>
              </w:rPr>
            </w:pPr>
            <w:r>
              <w:rPr>
                <w:rFonts w:hint="eastAsia" w:ascii="宋体" w:hAnsi="宋体" w:cs="宋体"/>
                <w:color w:val="auto"/>
                <w:kern w:val="0"/>
                <w:szCs w:val="21"/>
                <w:highlight w:val="none"/>
                <w:lang w:bidi="ar"/>
              </w:rPr>
              <w:t>支持等级评审、医院质控等类型指标配置与指标解读，建立指标数据池（指标库），扩充医院管理所需的数据指标，指标可灵活进行规则配置，按不同版块统计，可展示各指标的指标说明、指标公式、指标导向、分子分母的提取逻辑与路径等。</w:t>
            </w:r>
          </w:p>
        </w:tc>
        <w:tc>
          <w:tcPr>
            <w:tcW w:w="1172" w:type="dxa"/>
            <w:noWrap w:val="0"/>
            <w:vAlign w:val="top"/>
          </w:tcPr>
          <w:p w14:paraId="594563C4">
            <w:pPr>
              <w:jc w:val="left"/>
              <w:rPr>
                <w:rFonts w:hint="eastAsia" w:ascii="宋体" w:hAnsi="宋体" w:cs="宋体"/>
                <w:color w:val="auto"/>
                <w:szCs w:val="21"/>
                <w:highlight w:val="none"/>
              </w:rPr>
            </w:pPr>
          </w:p>
        </w:tc>
      </w:tr>
      <w:tr w14:paraId="01F10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7803CEF9">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c>
          <w:tcPr>
            <w:tcW w:w="781" w:type="dxa"/>
            <w:vMerge w:val="continue"/>
            <w:noWrap w:val="0"/>
            <w:vAlign w:val="center"/>
          </w:tcPr>
          <w:p w14:paraId="416A6188">
            <w:pPr>
              <w:widowControl/>
              <w:rPr>
                <w:rFonts w:hint="eastAsia" w:ascii="宋体" w:hAnsi="宋体" w:cs="宋体"/>
                <w:color w:val="auto"/>
                <w:szCs w:val="21"/>
                <w:highlight w:val="none"/>
              </w:rPr>
            </w:pPr>
          </w:p>
        </w:tc>
        <w:tc>
          <w:tcPr>
            <w:tcW w:w="824" w:type="dxa"/>
            <w:gridSpan w:val="2"/>
            <w:noWrap w:val="0"/>
            <w:vAlign w:val="center"/>
          </w:tcPr>
          <w:p w14:paraId="5B03A355">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指标可视化管理</w:t>
            </w:r>
          </w:p>
        </w:tc>
        <w:tc>
          <w:tcPr>
            <w:tcW w:w="5214" w:type="dxa"/>
            <w:noWrap w:val="0"/>
            <w:vAlign w:val="top"/>
          </w:tcPr>
          <w:p w14:paraId="39553D06">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提供可视化的平台运维配置和状态监管服务，实现对平台的性能监测，保障平台高效可靠运行。包括运维配置服务组件、状态监管服务组件等。</w:t>
            </w:r>
          </w:p>
        </w:tc>
        <w:tc>
          <w:tcPr>
            <w:tcW w:w="1172" w:type="dxa"/>
            <w:noWrap w:val="0"/>
            <w:vAlign w:val="top"/>
          </w:tcPr>
          <w:p w14:paraId="6132FD0D">
            <w:pPr>
              <w:jc w:val="left"/>
              <w:rPr>
                <w:rFonts w:hint="eastAsia" w:ascii="宋体" w:hAnsi="宋体" w:cs="宋体"/>
                <w:color w:val="auto"/>
                <w:szCs w:val="21"/>
                <w:highlight w:val="none"/>
              </w:rPr>
            </w:pPr>
          </w:p>
        </w:tc>
      </w:tr>
      <w:tr w14:paraId="34CEC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17EF7F1">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781" w:type="dxa"/>
            <w:vMerge w:val="continue"/>
            <w:noWrap w:val="0"/>
            <w:vAlign w:val="center"/>
          </w:tcPr>
          <w:p w14:paraId="5D740B22">
            <w:pPr>
              <w:widowControl/>
              <w:rPr>
                <w:rFonts w:hint="eastAsia" w:ascii="宋体" w:hAnsi="宋体" w:cs="宋体"/>
                <w:color w:val="auto"/>
                <w:szCs w:val="21"/>
                <w:highlight w:val="none"/>
              </w:rPr>
            </w:pPr>
          </w:p>
        </w:tc>
        <w:tc>
          <w:tcPr>
            <w:tcW w:w="824" w:type="dxa"/>
            <w:gridSpan w:val="2"/>
            <w:noWrap w:val="0"/>
            <w:vAlign w:val="center"/>
          </w:tcPr>
          <w:p w14:paraId="7BB1FB48">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指标快速查询</w:t>
            </w:r>
          </w:p>
        </w:tc>
        <w:tc>
          <w:tcPr>
            <w:tcW w:w="5214" w:type="dxa"/>
            <w:noWrap w:val="0"/>
            <w:vAlign w:val="center"/>
          </w:tcPr>
          <w:p w14:paraId="7B459DD2">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系统内置《广西壮族自治区三级生殖专科医院评审标准实施细则（2023）年版》，供医院人员进行学习。支持按照条款分类、条款号、条款名称、节点类型等条件快速查询条款内容。</w:t>
            </w:r>
          </w:p>
        </w:tc>
        <w:tc>
          <w:tcPr>
            <w:tcW w:w="1172" w:type="dxa"/>
            <w:noWrap w:val="0"/>
            <w:vAlign w:val="center"/>
          </w:tcPr>
          <w:p w14:paraId="09A6662D">
            <w:pPr>
              <w:widowControl/>
              <w:jc w:val="left"/>
              <w:textAlignment w:val="center"/>
              <w:rPr>
                <w:rFonts w:hint="eastAsia" w:ascii="宋体" w:hAnsi="宋体" w:cs="宋体"/>
                <w:color w:val="auto"/>
                <w:kern w:val="0"/>
                <w:szCs w:val="21"/>
                <w:highlight w:val="none"/>
                <w:lang w:bidi="ar"/>
              </w:rPr>
            </w:pPr>
          </w:p>
        </w:tc>
      </w:tr>
      <w:tr w14:paraId="2C5A4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F9D3C71">
            <w:pP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781" w:type="dxa"/>
            <w:vMerge w:val="continue"/>
            <w:noWrap w:val="0"/>
            <w:vAlign w:val="center"/>
          </w:tcPr>
          <w:p w14:paraId="2DCC002C">
            <w:pPr>
              <w:widowControl/>
              <w:rPr>
                <w:rFonts w:hint="eastAsia" w:ascii="宋体" w:hAnsi="宋体" w:cs="宋体"/>
                <w:color w:val="auto"/>
                <w:szCs w:val="21"/>
                <w:highlight w:val="none"/>
              </w:rPr>
            </w:pPr>
          </w:p>
        </w:tc>
        <w:tc>
          <w:tcPr>
            <w:tcW w:w="824" w:type="dxa"/>
            <w:gridSpan w:val="2"/>
            <w:noWrap w:val="0"/>
            <w:vAlign w:val="center"/>
          </w:tcPr>
          <w:p w14:paraId="34E719A1">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数据指标池</w:t>
            </w:r>
          </w:p>
        </w:tc>
        <w:tc>
          <w:tcPr>
            <w:tcW w:w="5214" w:type="dxa"/>
            <w:noWrap w:val="0"/>
            <w:vAlign w:val="top"/>
          </w:tcPr>
          <w:p w14:paraId="1B531DB2">
            <w:pP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医疗质量监测数据指标池：提供底层数据交换与加工的数据的中间件，提供数据仓库内统一的数据交换通道，对接各种数仓，解决各项医疗大数据行业应用数据来源问题。</w:t>
            </w:r>
          </w:p>
        </w:tc>
        <w:tc>
          <w:tcPr>
            <w:tcW w:w="1172" w:type="dxa"/>
            <w:noWrap w:val="0"/>
            <w:vAlign w:val="top"/>
          </w:tcPr>
          <w:p w14:paraId="2BBB4FCD">
            <w:pPr>
              <w:jc w:val="left"/>
              <w:rPr>
                <w:rFonts w:hint="eastAsia" w:ascii="宋体" w:hAnsi="宋体" w:cs="宋体"/>
                <w:color w:val="auto"/>
                <w:szCs w:val="21"/>
                <w:highlight w:val="none"/>
              </w:rPr>
            </w:pPr>
          </w:p>
        </w:tc>
      </w:tr>
      <w:tr w14:paraId="7922F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1EFB650">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781" w:type="dxa"/>
            <w:vMerge w:val="restart"/>
            <w:noWrap w:val="0"/>
            <w:vAlign w:val="center"/>
          </w:tcPr>
          <w:p w14:paraId="632139BC">
            <w:pPr>
              <w:rPr>
                <w:rFonts w:hint="eastAsia" w:ascii="宋体" w:hAnsi="宋体" w:cs="宋体"/>
                <w:color w:val="auto"/>
                <w:szCs w:val="21"/>
                <w:highlight w:val="none"/>
              </w:rPr>
            </w:pPr>
            <w:r>
              <w:rPr>
                <w:rFonts w:hint="eastAsia" w:ascii="宋体" w:hAnsi="宋体" w:cs="宋体"/>
                <w:color w:val="auto"/>
                <w:szCs w:val="21"/>
                <w:highlight w:val="none"/>
              </w:rPr>
              <w:t>文档管理</w:t>
            </w:r>
          </w:p>
        </w:tc>
        <w:tc>
          <w:tcPr>
            <w:tcW w:w="824" w:type="dxa"/>
            <w:gridSpan w:val="2"/>
            <w:noWrap w:val="0"/>
            <w:vAlign w:val="center"/>
          </w:tcPr>
          <w:p w14:paraId="395022E4">
            <w:pPr>
              <w:widowControl/>
              <w:rPr>
                <w:rFonts w:hint="eastAsia" w:ascii="宋体" w:hAnsi="宋体" w:cs="宋体"/>
                <w:color w:val="auto"/>
                <w:szCs w:val="21"/>
                <w:highlight w:val="none"/>
              </w:rPr>
            </w:pPr>
            <w:r>
              <w:rPr>
                <w:rFonts w:hint="eastAsia" w:ascii="宋体" w:hAnsi="宋体" w:cs="宋体"/>
                <w:color w:val="auto"/>
                <w:szCs w:val="21"/>
                <w:highlight w:val="none"/>
              </w:rPr>
              <w:t>▲所有文档</w:t>
            </w:r>
          </w:p>
        </w:tc>
        <w:tc>
          <w:tcPr>
            <w:tcW w:w="5214" w:type="dxa"/>
            <w:noWrap w:val="0"/>
            <w:vAlign w:val="center"/>
          </w:tcPr>
          <w:p w14:paraId="0E59F868">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按评审细则要求建立医院评审电子资料数据库，按评审条款归档支撑材料；</w:t>
            </w:r>
          </w:p>
          <w:p w14:paraId="3BA0F01F">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提示医院需要准备的材料和文档，内置支撑材料的参考模板，供医院下载作为评审依据，支持导入自定义参考资料并在线查看。</w:t>
            </w:r>
          </w:p>
        </w:tc>
        <w:tc>
          <w:tcPr>
            <w:tcW w:w="1172" w:type="dxa"/>
            <w:noWrap w:val="0"/>
            <w:vAlign w:val="top"/>
          </w:tcPr>
          <w:p w14:paraId="07F0CD81">
            <w:pPr>
              <w:jc w:val="left"/>
              <w:rPr>
                <w:rFonts w:hint="eastAsia" w:ascii="宋体" w:hAnsi="宋体" w:cs="宋体"/>
                <w:color w:val="auto"/>
                <w:szCs w:val="21"/>
                <w:highlight w:val="none"/>
              </w:rPr>
            </w:pPr>
          </w:p>
        </w:tc>
      </w:tr>
      <w:tr w14:paraId="05D9A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0F1FC705">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781" w:type="dxa"/>
            <w:vMerge w:val="continue"/>
            <w:noWrap w:val="0"/>
            <w:vAlign w:val="center"/>
          </w:tcPr>
          <w:p w14:paraId="42D3E939">
            <w:pPr>
              <w:rPr>
                <w:rFonts w:hint="eastAsia" w:ascii="宋体" w:hAnsi="宋体" w:cs="宋体"/>
                <w:color w:val="auto"/>
                <w:szCs w:val="21"/>
                <w:highlight w:val="none"/>
              </w:rPr>
            </w:pPr>
          </w:p>
        </w:tc>
        <w:tc>
          <w:tcPr>
            <w:tcW w:w="824" w:type="dxa"/>
            <w:gridSpan w:val="2"/>
            <w:noWrap w:val="0"/>
            <w:vAlign w:val="center"/>
          </w:tcPr>
          <w:p w14:paraId="14DD6C32">
            <w:pPr>
              <w:widowControl/>
              <w:rPr>
                <w:rFonts w:ascii="宋体" w:hAnsi="宋体" w:cs="宋体"/>
                <w:color w:val="auto"/>
                <w:szCs w:val="21"/>
                <w:highlight w:val="none"/>
              </w:rPr>
            </w:pPr>
            <w:r>
              <w:rPr>
                <w:rFonts w:hint="eastAsia" w:ascii="宋体" w:hAnsi="宋体" w:cs="宋体"/>
                <w:color w:val="auto"/>
                <w:szCs w:val="21"/>
                <w:highlight w:val="none"/>
              </w:rPr>
              <w:t>存储与管理</w:t>
            </w:r>
          </w:p>
        </w:tc>
        <w:tc>
          <w:tcPr>
            <w:tcW w:w="5214" w:type="dxa"/>
            <w:noWrap w:val="0"/>
            <w:vAlign w:val="center"/>
          </w:tcPr>
          <w:p w14:paraId="482F8DC2">
            <w:pPr>
              <w:pStyle w:val="21"/>
              <w:widowControl/>
              <w:ind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rPr>
              <w:t>支持用户</w:t>
            </w:r>
            <w:r>
              <w:rPr>
                <w:rFonts w:hint="eastAsia" w:ascii="宋体" w:hAnsi="宋体" w:cs="宋体"/>
                <w:color w:val="auto"/>
                <w:szCs w:val="21"/>
                <w:highlight w:val="none"/>
                <w:lang w:val="en-US" w:eastAsia="zh-CN"/>
              </w:rPr>
              <w:t>拥有分级管理权限；</w:t>
            </w:r>
          </w:p>
          <w:p w14:paraId="1A4B627A">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支持用户在共享文档库对自己上传的文档拥有管理权；</w:t>
            </w:r>
          </w:p>
          <w:p w14:paraId="325F50A2">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支持用户自定义文档目录，对文档进行分类存储。</w:t>
            </w:r>
          </w:p>
        </w:tc>
        <w:tc>
          <w:tcPr>
            <w:tcW w:w="1172" w:type="dxa"/>
            <w:noWrap w:val="0"/>
            <w:vAlign w:val="top"/>
          </w:tcPr>
          <w:p w14:paraId="73777F4D">
            <w:pPr>
              <w:jc w:val="left"/>
              <w:rPr>
                <w:rFonts w:hint="default" w:ascii="宋体" w:hAnsi="宋体" w:cs="宋体"/>
                <w:color w:val="auto"/>
                <w:szCs w:val="21"/>
                <w:highlight w:val="none"/>
                <w:lang w:val="en-US"/>
              </w:rPr>
            </w:pPr>
          </w:p>
        </w:tc>
      </w:tr>
      <w:tr w14:paraId="17AA7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75168A0">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781" w:type="dxa"/>
            <w:vMerge w:val="continue"/>
            <w:noWrap w:val="0"/>
            <w:vAlign w:val="center"/>
          </w:tcPr>
          <w:p w14:paraId="0583231A">
            <w:pPr>
              <w:rPr>
                <w:rFonts w:hint="eastAsia" w:ascii="宋体" w:hAnsi="宋体" w:cs="宋体"/>
                <w:color w:val="auto"/>
                <w:szCs w:val="21"/>
                <w:highlight w:val="none"/>
              </w:rPr>
            </w:pPr>
          </w:p>
        </w:tc>
        <w:tc>
          <w:tcPr>
            <w:tcW w:w="824" w:type="dxa"/>
            <w:gridSpan w:val="2"/>
            <w:noWrap w:val="0"/>
            <w:vAlign w:val="center"/>
          </w:tcPr>
          <w:p w14:paraId="29024BF3">
            <w:pPr>
              <w:widowControl/>
              <w:rPr>
                <w:rFonts w:hint="eastAsia" w:ascii="宋体" w:hAnsi="宋体" w:cs="宋体"/>
                <w:color w:val="auto"/>
                <w:szCs w:val="21"/>
                <w:highlight w:val="none"/>
              </w:rPr>
            </w:pPr>
            <w:r>
              <w:rPr>
                <w:rFonts w:hint="eastAsia" w:ascii="宋体" w:hAnsi="宋体" w:cs="宋体"/>
                <w:color w:val="auto"/>
                <w:szCs w:val="21"/>
                <w:highlight w:val="none"/>
              </w:rPr>
              <w:t>▲文档查阅</w:t>
            </w:r>
          </w:p>
        </w:tc>
        <w:tc>
          <w:tcPr>
            <w:tcW w:w="5214" w:type="dxa"/>
            <w:noWrap w:val="0"/>
            <w:vAlign w:val="center"/>
          </w:tcPr>
          <w:p w14:paraId="5E773F7A">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支持终审支撑材料整理查看；</w:t>
            </w:r>
          </w:p>
          <w:p w14:paraId="21C617B2">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支持阅览类文档图文视频在线</w:t>
            </w:r>
            <w:r>
              <w:rPr>
                <w:rFonts w:hint="eastAsia" w:ascii="宋体" w:hAnsi="宋体" w:cs="宋体"/>
                <w:color w:val="auto"/>
                <w:szCs w:val="21"/>
                <w:highlight w:val="none"/>
                <w:lang w:val="en-US" w:eastAsia="zh-CN"/>
              </w:rPr>
              <w:t>查看或下载查看</w:t>
            </w:r>
            <w:r>
              <w:rPr>
                <w:rFonts w:hint="eastAsia" w:ascii="宋体" w:hAnsi="宋体" w:cs="宋体"/>
                <w:color w:val="auto"/>
                <w:szCs w:val="21"/>
                <w:highlight w:val="none"/>
              </w:rPr>
              <w:t>。</w:t>
            </w:r>
          </w:p>
        </w:tc>
        <w:tc>
          <w:tcPr>
            <w:tcW w:w="1172" w:type="dxa"/>
            <w:noWrap w:val="0"/>
            <w:vAlign w:val="top"/>
          </w:tcPr>
          <w:p w14:paraId="0B5BC76E">
            <w:pPr>
              <w:tabs>
                <w:tab w:val="center" w:pos="945"/>
              </w:tabs>
              <w:jc w:val="left"/>
              <w:rPr>
                <w:rFonts w:hint="eastAsia" w:ascii="宋体" w:hAnsi="宋体" w:cs="宋体"/>
                <w:color w:val="auto"/>
                <w:szCs w:val="21"/>
                <w:highlight w:val="none"/>
              </w:rPr>
            </w:pPr>
          </w:p>
        </w:tc>
      </w:tr>
      <w:tr w14:paraId="7568F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noWrap w:val="0"/>
            <w:vAlign w:val="center"/>
          </w:tcPr>
          <w:p w14:paraId="56F534B8">
            <w:pPr>
              <w:widowControl/>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781" w:type="dxa"/>
            <w:vMerge w:val="restart"/>
            <w:noWrap w:val="0"/>
            <w:vAlign w:val="center"/>
          </w:tcPr>
          <w:p w14:paraId="5AF8CAB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数据获取</w:t>
            </w:r>
          </w:p>
        </w:tc>
        <w:tc>
          <w:tcPr>
            <w:tcW w:w="824" w:type="dxa"/>
            <w:gridSpan w:val="2"/>
            <w:noWrap w:val="0"/>
            <w:vAlign w:val="center"/>
          </w:tcPr>
          <w:p w14:paraId="7ED3822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▲三级钻取</w:t>
            </w:r>
          </w:p>
        </w:tc>
        <w:tc>
          <w:tcPr>
            <w:tcW w:w="5214" w:type="dxa"/>
            <w:noWrap w:val="0"/>
            <w:vAlign w:val="center"/>
          </w:tcPr>
          <w:p w14:paraId="466891A7">
            <w:pPr>
              <w:widowControl/>
              <w:jc w:val="left"/>
              <w:rPr>
                <w:rFonts w:hint="eastAsia" w:ascii="宋体" w:hAnsi="宋体" w:cs="宋体"/>
                <w:color w:val="auto"/>
                <w:szCs w:val="21"/>
                <w:highlight w:val="none"/>
              </w:rPr>
            </w:pPr>
            <w:r>
              <w:rPr>
                <w:rFonts w:hint="eastAsia" w:ascii="宋体" w:hAnsi="宋体" w:cs="宋体"/>
                <w:color w:val="auto"/>
                <w:szCs w:val="21"/>
                <w:highlight w:val="none"/>
              </w:rPr>
              <w:t>数据能做到三级钻取，包含结构及非结构化提取，包含数据、患者台账、病历、指标包含的项目及报告时间。统计数据时可以根据诊断、手术、医嘱、记录、病历内容等相关条件取数。</w:t>
            </w:r>
          </w:p>
        </w:tc>
        <w:tc>
          <w:tcPr>
            <w:tcW w:w="1172" w:type="dxa"/>
            <w:noWrap w:val="0"/>
            <w:vAlign w:val="top"/>
          </w:tcPr>
          <w:p w14:paraId="1C2384B4">
            <w:pPr>
              <w:jc w:val="left"/>
              <w:rPr>
                <w:rFonts w:hint="eastAsia" w:ascii="宋体" w:hAnsi="宋体" w:cs="宋体"/>
                <w:color w:val="auto"/>
                <w:szCs w:val="21"/>
                <w:highlight w:val="none"/>
              </w:rPr>
            </w:pPr>
          </w:p>
        </w:tc>
      </w:tr>
      <w:tr w14:paraId="1F279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9DC1F96">
            <w:pPr>
              <w:widowControl/>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781" w:type="dxa"/>
            <w:vMerge w:val="continue"/>
            <w:noWrap w:val="0"/>
            <w:vAlign w:val="center"/>
          </w:tcPr>
          <w:p w14:paraId="24EAD404">
            <w:pPr>
              <w:widowControl/>
              <w:jc w:val="center"/>
              <w:rPr>
                <w:rFonts w:hint="eastAsia" w:ascii="宋体" w:hAnsi="宋体" w:cs="宋体"/>
                <w:color w:val="auto"/>
                <w:szCs w:val="21"/>
                <w:highlight w:val="none"/>
              </w:rPr>
            </w:pPr>
          </w:p>
        </w:tc>
        <w:tc>
          <w:tcPr>
            <w:tcW w:w="824" w:type="dxa"/>
            <w:gridSpan w:val="2"/>
            <w:noWrap w:val="0"/>
            <w:vAlign w:val="center"/>
          </w:tcPr>
          <w:p w14:paraId="7D2940FE">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全景病例模块</w:t>
            </w:r>
          </w:p>
        </w:tc>
        <w:tc>
          <w:tcPr>
            <w:tcW w:w="5214" w:type="dxa"/>
            <w:noWrap w:val="0"/>
            <w:vAlign w:val="center"/>
          </w:tcPr>
          <w:p w14:paraId="5E480E11">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360度全景病历模块，指标</w:t>
            </w:r>
            <w:r>
              <w:rPr>
                <w:rFonts w:hint="eastAsia" w:ascii="宋体" w:hAnsi="宋体" w:cs="宋体"/>
                <w:color w:val="auto"/>
                <w:szCs w:val="21"/>
                <w:highlight w:val="none"/>
                <w:lang w:val="en-US" w:eastAsia="zh-CN"/>
              </w:rPr>
              <w:t>数据与溯源资料直接连通</w:t>
            </w:r>
            <w:r>
              <w:rPr>
                <w:rFonts w:hint="eastAsia" w:ascii="宋体" w:hAnsi="宋体" w:cs="宋体"/>
                <w:color w:val="auto"/>
                <w:szCs w:val="21"/>
                <w:highlight w:val="none"/>
              </w:rPr>
              <w:t>，从指标三级下钻能到全景病历，显示医学检验报告</w:t>
            </w:r>
            <w:r>
              <w:rPr>
                <w:rFonts w:hint="eastAsia" w:ascii="宋体" w:hAnsi="宋体" w:cs="宋体"/>
                <w:color w:val="auto"/>
                <w:szCs w:val="21"/>
                <w:highlight w:val="none"/>
                <w:lang w:eastAsia="zh-CN"/>
              </w:rPr>
              <w:t>、</w:t>
            </w:r>
            <w:r>
              <w:rPr>
                <w:rFonts w:hint="eastAsia" w:ascii="宋体" w:hAnsi="宋体" w:cs="宋体"/>
                <w:color w:val="auto"/>
                <w:szCs w:val="21"/>
                <w:highlight w:val="none"/>
              </w:rPr>
              <w:t>病案首页</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病历</w:t>
            </w:r>
            <w:r>
              <w:rPr>
                <w:rFonts w:hint="eastAsia" w:ascii="宋体" w:hAnsi="宋体" w:cs="宋体"/>
                <w:color w:val="auto"/>
                <w:szCs w:val="21"/>
                <w:highlight w:val="none"/>
              </w:rPr>
              <w:t>等。</w:t>
            </w:r>
          </w:p>
        </w:tc>
        <w:tc>
          <w:tcPr>
            <w:tcW w:w="1172" w:type="dxa"/>
            <w:noWrap w:val="0"/>
            <w:vAlign w:val="top"/>
          </w:tcPr>
          <w:p w14:paraId="13F74653">
            <w:pPr>
              <w:jc w:val="left"/>
              <w:rPr>
                <w:rFonts w:hint="eastAsia" w:ascii="宋体" w:hAnsi="宋体" w:cs="宋体"/>
                <w:color w:val="auto"/>
                <w:szCs w:val="21"/>
                <w:highlight w:val="none"/>
              </w:rPr>
            </w:pPr>
          </w:p>
        </w:tc>
      </w:tr>
      <w:tr w14:paraId="55E49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74CE5E21">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781" w:type="dxa"/>
            <w:vMerge w:val="continue"/>
            <w:noWrap w:val="0"/>
            <w:vAlign w:val="center"/>
          </w:tcPr>
          <w:p w14:paraId="4A590B50">
            <w:pPr>
              <w:widowControl/>
              <w:jc w:val="center"/>
              <w:rPr>
                <w:rFonts w:hint="eastAsia" w:ascii="宋体" w:hAnsi="宋体" w:cs="宋体"/>
                <w:color w:val="auto"/>
                <w:szCs w:val="21"/>
                <w:highlight w:val="none"/>
              </w:rPr>
            </w:pPr>
          </w:p>
        </w:tc>
        <w:tc>
          <w:tcPr>
            <w:tcW w:w="824" w:type="dxa"/>
            <w:gridSpan w:val="2"/>
            <w:noWrap w:val="0"/>
            <w:vAlign w:val="center"/>
          </w:tcPr>
          <w:p w14:paraId="189299EE">
            <w:pPr>
              <w:widowControl/>
              <w:jc w:val="center"/>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数据</w:t>
            </w:r>
            <w:r>
              <w:rPr>
                <w:rFonts w:hint="eastAsia" w:ascii="宋体" w:hAnsi="宋体" w:cs="宋体"/>
                <w:color w:val="auto"/>
                <w:szCs w:val="21"/>
                <w:highlight w:val="none"/>
              </w:rPr>
              <w:t>对接</w:t>
            </w:r>
          </w:p>
        </w:tc>
        <w:tc>
          <w:tcPr>
            <w:tcW w:w="5214" w:type="dxa"/>
            <w:noWrap w:val="0"/>
            <w:vAlign w:val="center"/>
          </w:tcPr>
          <w:p w14:paraId="368267E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与医院各个应用系统</w:t>
            </w:r>
            <w:r>
              <w:rPr>
                <w:rFonts w:hint="eastAsia" w:ascii="宋体" w:hAnsi="宋体" w:cs="宋体"/>
                <w:color w:val="auto"/>
                <w:kern w:val="0"/>
                <w:szCs w:val="21"/>
                <w:highlight w:val="none"/>
                <w:lang w:bidi="ar"/>
              </w:rPr>
              <w:t>包括但不限于HIS、</w:t>
            </w:r>
            <w:r>
              <w:rPr>
                <w:rFonts w:hint="eastAsia" w:ascii="宋体" w:hAnsi="宋体" w:cs="宋体"/>
                <w:color w:val="auto"/>
                <w:kern w:val="0"/>
                <w:szCs w:val="21"/>
                <w:highlight w:val="none"/>
                <w:lang w:val="en-US" w:eastAsia="zh-CN" w:bidi="ar"/>
              </w:rPr>
              <w:t>医院集成平台、</w:t>
            </w:r>
            <w:r>
              <w:rPr>
                <w:rFonts w:hint="eastAsia" w:ascii="宋体" w:hAnsi="宋体" w:cs="宋体"/>
                <w:color w:val="auto"/>
                <w:kern w:val="0"/>
                <w:szCs w:val="21"/>
                <w:highlight w:val="none"/>
                <w:lang w:bidi="ar"/>
              </w:rPr>
              <w:t>生殖</w:t>
            </w:r>
            <w:r>
              <w:rPr>
                <w:rFonts w:hint="eastAsia" w:ascii="宋体" w:hAnsi="宋体" w:cs="宋体"/>
                <w:color w:val="auto"/>
                <w:kern w:val="0"/>
                <w:szCs w:val="21"/>
                <w:highlight w:val="none"/>
                <w:lang w:val="en-US" w:eastAsia="zh-CN" w:bidi="ar"/>
              </w:rPr>
              <w:t>病案</w:t>
            </w:r>
            <w:r>
              <w:rPr>
                <w:rFonts w:hint="eastAsia" w:ascii="宋体" w:hAnsi="宋体" w:cs="宋体"/>
                <w:color w:val="auto"/>
                <w:kern w:val="0"/>
                <w:szCs w:val="21"/>
                <w:highlight w:val="none"/>
                <w:lang w:bidi="ar"/>
              </w:rPr>
              <w:t>、</w:t>
            </w:r>
            <w:r>
              <w:rPr>
                <w:rFonts w:hint="eastAsia" w:ascii="宋体" w:hAnsi="宋体" w:cs="宋体"/>
                <w:color w:val="auto"/>
                <w:szCs w:val="21"/>
                <w:highlight w:val="none"/>
              </w:rPr>
              <w:t>电子病历、</w:t>
            </w:r>
            <w:r>
              <w:rPr>
                <w:rFonts w:hint="eastAsia" w:ascii="宋体" w:hAnsi="宋体" w:cs="宋体"/>
                <w:color w:val="auto"/>
                <w:kern w:val="0"/>
                <w:szCs w:val="21"/>
                <w:highlight w:val="none"/>
                <w:lang w:bidi="ar"/>
              </w:rPr>
              <w:t>手麻、病案、检验、影像、合理用药、人事管理、财务管理、设备管理、院感管理、不良事件管理、</w:t>
            </w:r>
            <w:r>
              <w:rPr>
                <w:rFonts w:hint="eastAsia" w:ascii="宋体" w:hAnsi="宋体" w:cs="宋体"/>
                <w:color w:val="auto"/>
                <w:szCs w:val="21"/>
                <w:highlight w:val="none"/>
              </w:rPr>
              <w:t>输血管理、护理管理、随访管理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单病种管理</w:t>
            </w:r>
            <w:r>
              <w:rPr>
                <w:rFonts w:hint="eastAsia" w:ascii="宋体" w:hAnsi="宋体" w:cs="宋体"/>
                <w:color w:val="auto"/>
                <w:szCs w:val="21"/>
                <w:highlight w:val="none"/>
              </w:rPr>
              <w:t>等相关数据来源系统对接，实现数据采集、梳理、存储、统计、分析、溯源等。</w:t>
            </w:r>
          </w:p>
        </w:tc>
        <w:tc>
          <w:tcPr>
            <w:tcW w:w="1172" w:type="dxa"/>
            <w:noWrap w:val="0"/>
            <w:vAlign w:val="top"/>
          </w:tcPr>
          <w:p w14:paraId="7286A491">
            <w:pPr>
              <w:jc w:val="left"/>
              <w:rPr>
                <w:rFonts w:hint="eastAsia" w:ascii="宋体" w:hAnsi="宋体" w:cs="宋体"/>
                <w:color w:val="auto"/>
                <w:szCs w:val="21"/>
                <w:highlight w:val="none"/>
              </w:rPr>
            </w:pPr>
          </w:p>
        </w:tc>
      </w:tr>
      <w:tr w14:paraId="600C1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noWrap w:val="0"/>
            <w:vAlign w:val="center"/>
          </w:tcPr>
          <w:p w14:paraId="19C1C521">
            <w:pPr>
              <w:widowControl/>
              <w:jc w:val="center"/>
              <w:rPr>
                <w:rFonts w:hint="default" w:ascii="宋体" w:hAnsi="宋体" w:cs="宋体"/>
                <w:color w:val="auto"/>
                <w:szCs w:val="21"/>
                <w:highlight w:val="none"/>
                <w:lang w:val="en-US"/>
              </w:rPr>
            </w:pPr>
            <w:r>
              <w:rPr>
                <w:rFonts w:hint="eastAsia" w:ascii="宋体" w:hAnsi="宋体" w:cs="宋体"/>
                <w:color w:val="auto"/>
                <w:kern w:val="0"/>
                <w:szCs w:val="21"/>
                <w:highlight w:val="none"/>
                <w:lang w:val="en-US" w:eastAsia="zh-CN"/>
              </w:rPr>
              <w:t>14</w:t>
            </w:r>
          </w:p>
        </w:tc>
        <w:tc>
          <w:tcPr>
            <w:tcW w:w="781" w:type="dxa"/>
            <w:vMerge w:val="restart"/>
            <w:noWrap w:val="0"/>
            <w:vAlign w:val="center"/>
          </w:tcPr>
          <w:p w14:paraId="6D7DD8AC">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病历全文检索</w:t>
            </w:r>
          </w:p>
        </w:tc>
        <w:tc>
          <w:tcPr>
            <w:tcW w:w="824" w:type="dxa"/>
            <w:gridSpan w:val="2"/>
            <w:noWrap w:val="0"/>
            <w:vAlign w:val="center"/>
          </w:tcPr>
          <w:p w14:paraId="5C624DA0">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病历检索</w:t>
            </w:r>
          </w:p>
        </w:tc>
        <w:tc>
          <w:tcPr>
            <w:tcW w:w="5214" w:type="dxa"/>
            <w:noWrap w:val="0"/>
            <w:vAlign w:val="center"/>
          </w:tcPr>
          <w:p w14:paraId="72ED18FB">
            <w:pPr>
              <w:widowControl/>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拥有非结构化检索功能，</w:t>
            </w:r>
            <w:r>
              <w:rPr>
                <w:rFonts w:hint="eastAsia" w:ascii="宋体" w:hAnsi="宋体" w:cs="宋体"/>
                <w:color w:val="auto"/>
                <w:szCs w:val="21"/>
                <w:highlight w:val="none"/>
              </w:rPr>
              <w:t>病历内容抓取功能，能从病历中抓取病历内容，如：</w:t>
            </w:r>
            <w:r>
              <w:rPr>
                <w:rFonts w:hint="eastAsia" w:ascii="宋体" w:hAnsi="宋体" w:cs="宋体"/>
                <w:color w:val="auto"/>
                <w:kern w:val="0"/>
                <w:szCs w:val="21"/>
                <w:highlight w:val="none"/>
              </w:rPr>
              <w:t>录入需要检索内容，提供类似百度功能对所有病历进行分析，展示出符合要求的病历。</w:t>
            </w:r>
            <w:r>
              <w:rPr>
                <w:rFonts w:hint="eastAsia" w:ascii="宋体" w:hAnsi="宋体" w:cs="宋体"/>
                <w:color w:val="auto"/>
                <w:szCs w:val="21"/>
                <w:highlight w:val="none"/>
              </w:rPr>
              <w:t>入院记录中“</w:t>
            </w:r>
            <w:r>
              <w:rPr>
                <w:rFonts w:hint="eastAsia" w:ascii="宋体" w:hAnsi="宋体" w:cs="宋体"/>
                <w:color w:val="auto"/>
                <w:szCs w:val="21"/>
                <w:highlight w:val="none"/>
                <w:u w:val="single"/>
              </w:rPr>
              <w:t>主诉:头晕、呕吐15小时</w:t>
            </w:r>
            <w:r>
              <w:rPr>
                <w:rFonts w:hint="eastAsia" w:ascii="宋体" w:hAnsi="宋体" w:cs="宋体"/>
                <w:color w:val="auto"/>
                <w:szCs w:val="21"/>
                <w:highlight w:val="none"/>
              </w:rPr>
              <w:t>”需要能提取到具体的小时数15，用来判断是否满足指标要求。其他还包含病历各项评分数据的抓取（</w:t>
            </w:r>
            <w:r>
              <w:rPr>
                <w:rFonts w:hint="eastAsia" w:ascii="宋体" w:hAnsi="宋体" w:cs="宋体"/>
                <w:color w:val="auto"/>
                <w:szCs w:val="21"/>
                <w:highlight w:val="none"/>
                <w:lang w:val="en-US" w:eastAsia="zh-CN"/>
              </w:rPr>
              <w:t>例如：新生儿</w:t>
            </w:r>
            <w:r>
              <w:rPr>
                <w:rFonts w:hint="default" w:ascii="宋体" w:hAnsi="宋体" w:cs="宋体"/>
                <w:color w:val="auto"/>
                <w:szCs w:val="21"/>
                <w:highlight w:val="none"/>
                <w:lang w:val="en-US" w:eastAsia="zh-CN"/>
              </w:rPr>
              <w:t>Apgar</w:t>
            </w:r>
            <w:r>
              <w:rPr>
                <w:rFonts w:hint="eastAsia" w:ascii="宋体" w:hAnsi="宋体" w:cs="宋体"/>
                <w:color w:val="auto"/>
                <w:szCs w:val="21"/>
                <w:highlight w:val="none"/>
                <w:lang w:val="en-US" w:eastAsia="zh-CN"/>
              </w:rPr>
              <w:t>评分、</w:t>
            </w:r>
            <w:r>
              <w:rPr>
                <w:rFonts w:hint="default" w:ascii="宋体" w:hAnsi="宋体" w:cs="宋体"/>
                <w:color w:val="auto"/>
                <w:szCs w:val="21"/>
                <w:highlight w:val="none"/>
                <w:lang w:val="en-US" w:eastAsia="zh-CN"/>
              </w:rPr>
              <w:t>VTE</w:t>
            </w:r>
            <w:r>
              <w:rPr>
                <w:rFonts w:hint="eastAsia" w:ascii="宋体" w:hAnsi="宋体" w:cs="宋体"/>
                <w:color w:val="auto"/>
                <w:szCs w:val="21"/>
                <w:highlight w:val="none"/>
                <w:lang w:val="en-US" w:eastAsia="zh-CN"/>
              </w:rPr>
              <w:t>风险评分</w:t>
            </w:r>
            <w:r>
              <w:rPr>
                <w:rFonts w:hint="eastAsia" w:ascii="宋体" w:hAnsi="宋体" w:cs="宋体"/>
                <w:strike w:val="0"/>
                <w:color w:val="auto"/>
                <w:szCs w:val="21"/>
                <w:highlight w:val="none"/>
              </w:rPr>
              <w:t>）</w:t>
            </w:r>
            <w:r>
              <w:rPr>
                <w:rFonts w:hint="eastAsia" w:ascii="宋体" w:hAnsi="宋体" w:cs="宋体"/>
                <w:color w:val="auto"/>
                <w:szCs w:val="21"/>
                <w:highlight w:val="none"/>
              </w:rPr>
              <w:t>，不同病程记录时间可做运算。</w:t>
            </w:r>
            <w:r>
              <w:rPr>
                <w:rFonts w:hint="eastAsia" w:ascii="宋体" w:hAnsi="宋体" w:cs="宋体"/>
                <w:color w:val="auto"/>
                <w:szCs w:val="21"/>
                <w:highlight w:val="none"/>
                <w:lang w:val="en-US" w:eastAsia="zh-CN"/>
              </w:rPr>
              <w:t>支持多病历多规则检索，</w:t>
            </w:r>
            <w:r>
              <w:rPr>
                <w:rFonts w:hint="eastAsia" w:ascii="宋体" w:hAnsi="宋体" w:cs="宋体"/>
                <w:color w:val="auto"/>
                <w:szCs w:val="21"/>
                <w:highlight w:val="none"/>
              </w:rPr>
              <w:t>系统自动定位到关键字位置，多份病程记录能继续定位。按设置好的病历规则进行检索，满足病历规则的患者能用列表展示。</w:t>
            </w:r>
          </w:p>
        </w:tc>
        <w:tc>
          <w:tcPr>
            <w:tcW w:w="1172" w:type="dxa"/>
            <w:noWrap w:val="0"/>
            <w:vAlign w:val="top"/>
          </w:tcPr>
          <w:p w14:paraId="0BD30FAE">
            <w:pPr>
              <w:jc w:val="left"/>
              <w:rPr>
                <w:rFonts w:hint="eastAsia" w:ascii="宋体" w:hAnsi="宋体" w:cs="宋体"/>
                <w:color w:val="auto"/>
                <w:szCs w:val="21"/>
                <w:highlight w:val="none"/>
              </w:rPr>
            </w:pPr>
          </w:p>
        </w:tc>
      </w:tr>
      <w:tr w14:paraId="6EFE8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noWrap w:val="0"/>
            <w:vAlign w:val="center"/>
          </w:tcPr>
          <w:p w14:paraId="246F6495">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781" w:type="dxa"/>
            <w:vMerge w:val="continue"/>
            <w:noWrap w:val="0"/>
            <w:vAlign w:val="center"/>
          </w:tcPr>
          <w:p w14:paraId="0C5DBC95">
            <w:pPr>
              <w:widowControl/>
              <w:jc w:val="center"/>
              <w:rPr>
                <w:rFonts w:hint="eastAsia" w:ascii="宋体" w:hAnsi="宋体" w:cs="宋体"/>
                <w:color w:val="auto"/>
                <w:szCs w:val="21"/>
                <w:highlight w:val="none"/>
              </w:rPr>
            </w:pPr>
          </w:p>
        </w:tc>
        <w:tc>
          <w:tcPr>
            <w:tcW w:w="824" w:type="dxa"/>
            <w:gridSpan w:val="2"/>
            <w:noWrap w:val="0"/>
            <w:vAlign w:val="center"/>
          </w:tcPr>
          <w:p w14:paraId="77F6838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▲患者溯源</w:t>
            </w:r>
          </w:p>
        </w:tc>
        <w:tc>
          <w:tcPr>
            <w:tcW w:w="5214" w:type="dxa"/>
            <w:noWrap w:val="0"/>
            <w:vAlign w:val="center"/>
          </w:tcPr>
          <w:p w14:paraId="14A3992A">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rPr>
              <w:t>溯源患者病历内容、可对关键字查看定位。可进行多条件抓取病历内容。包含：患者姓名、身份证号、住院号码、入院日期、出院日期、住院天数、出院主要诊断、主要手术或操作、手术或操作、入院途径、离院方式、查房记录、医嘱、检查检验结果等。</w:t>
            </w:r>
          </w:p>
        </w:tc>
        <w:tc>
          <w:tcPr>
            <w:tcW w:w="1172" w:type="dxa"/>
            <w:noWrap w:val="0"/>
            <w:vAlign w:val="top"/>
          </w:tcPr>
          <w:p w14:paraId="330A319A">
            <w:pPr>
              <w:jc w:val="left"/>
              <w:rPr>
                <w:rFonts w:hint="eastAsia" w:ascii="宋体" w:hAnsi="宋体" w:cs="宋体"/>
                <w:color w:val="auto"/>
                <w:szCs w:val="21"/>
                <w:highlight w:val="none"/>
              </w:rPr>
            </w:pPr>
          </w:p>
        </w:tc>
      </w:tr>
      <w:tr w14:paraId="7EE69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DA139BC">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781" w:type="dxa"/>
            <w:vMerge w:val="continue"/>
            <w:noWrap w:val="0"/>
            <w:vAlign w:val="center"/>
          </w:tcPr>
          <w:p w14:paraId="2195416F">
            <w:pPr>
              <w:widowControl/>
              <w:jc w:val="center"/>
              <w:rPr>
                <w:rFonts w:hint="eastAsia" w:ascii="宋体" w:hAnsi="宋体" w:cs="宋体"/>
                <w:color w:val="auto"/>
                <w:szCs w:val="21"/>
                <w:highlight w:val="none"/>
              </w:rPr>
            </w:pPr>
          </w:p>
        </w:tc>
        <w:tc>
          <w:tcPr>
            <w:tcW w:w="824" w:type="dxa"/>
            <w:gridSpan w:val="2"/>
            <w:noWrap w:val="0"/>
            <w:vAlign w:val="center"/>
          </w:tcPr>
          <w:p w14:paraId="1DCBB50F">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查重比对</w:t>
            </w:r>
          </w:p>
        </w:tc>
        <w:tc>
          <w:tcPr>
            <w:tcW w:w="5214" w:type="dxa"/>
            <w:noWrap w:val="0"/>
            <w:vAlign w:val="center"/>
          </w:tcPr>
          <w:p w14:paraId="72E234D0">
            <w:pPr>
              <w:widowControl/>
              <w:jc w:val="left"/>
              <w:rPr>
                <w:rFonts w:hint="eastAsia" w:ascii="宋体" w:hAnsi="宋体" w:cs="宋体"/>
                <w:color w:val="auto"/>
                <w:szCs w:val="21"/>
                <w:highlight w:val="none"/>
              </w:rPr>
            </w:pPr>
            <w:r>
              <w:rPr>
                <w:rFonts w:hint="eastAsia" w:ascii="宋体" w:hAnsi="宋体" w:cs="宋体"/>
                <w:color w:val="auto"/>
                <w:szCs w:val="21"/>
                <w:highlight w:val="none"/>
              </w:rPr>
              <w:t>病程记录查找重复内容功能，对于不同日期的病程记录内容能查找重复部分内容，</w:t>
            </w:r>
            <w:r>
              <w:rPr>
                <w:rFonts w:hint="eastAsia" w:ascii="宋体" w:hAnsi="宋体" w:eastAsia="宋体" w:cs="宋体"/>
                <w:color w:val="auto"/>
                <w:szCs w:val="21"/>
                <w:highlight w:val="none"/>
              </w:rPr>
              <w:t>用不同颜色标注，</w:t>
            </w:r>
            <w:r>
              <w:rPr>
                <w:rFonts w:hint="eastAsia" w:ascii="宋体" w:hAnsi="宋体" w:cs="宋体"/>
                <w:color w:val="auto"/>
                <w:szCs w:val="21"/>
                <w:highlight w:val="none"/>
              </w:rPr>
              <w:t>不同日期病程记录内容按百分比查找相同内容，比例值可以灵活设置。</w:t>
            </w:r>
          </w:p>
        </w:tc>
        <w:tc>
          <w:tcPr>
            <w:tcW w:w="1172" w:type="dxa"/>
            <w:noWrap w:val="0"/>
            <w:vAlign w:val="top"/>
          </w:tcPr>
          <w:p w14:paraId="2E14F897">
            <w:pPr>
              <w:jc w:val="left"/>
              <w:rPr>
                <w:rFonts w:hint="default" w:ascii="宋体" w:hAnsi="宋体" w:eastAsia="宋体" w:cs="宋体"/>
                <w:color w:val="auto"/>
                <w:szCs w:val="21"/>
                <w:highlight w:val="none"/>
                <w:lang w:val="en-US" w:eastAsia="zh-CN"/>
              </w:rPr>
            </w:pPr>
          </w:p>
        </w:tc>
      </w:tr>
      <w:tr w14:paraId="4068E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16E2EB9F">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781" w:type="dxa"/>
            <w:vMerge w:val="continue"/>
            <w:noWrap w:val="0"/>
            <w:vAlign w:val="center"/>
          </w:tcPr>
          <w:p w14:paraId="16B07D88">
            <w:pPr>
              <w:widowControl/>
              <w:jc w:val="center"/>
              <w:rPr>
                <w:rFonts w:hint="eastAsia" w:ascii="宋体" w:hAnsi="宋体" w:cs="宋体"/>
                <w:color w:val="auto"/>
                <w:szCs w:val="21"/>
                <w:highlight w:val="none"/>
              </w:rPr>
            </w:pPr>
          </w:p>
        </w:tc>
        <w:tc>
          <w:tcPr>
            <w:tcW w:w="824" w:type="dxa"/>
            <w:gridSpan w:val="2"/>
            <w:noWrap w:val="0"/>
            <w:vAlign w:val="center"/>
          </w:tcPr>
          <w:p w14:paraId="4CB30C5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病历规则引用</w:t>
            </w:r>
          </w:p>
        </w:tc>
        <w:tc>
          <w:tcPr>
            <w:tcW w:w="5214" w:type="dxa"/>
            <w:noWrap w:val="0"/>
            <w:vAlign w:val="center"/>
          </w:tcPr>
          <w:p w14:paraId="00AE539A">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rPr>
              <w:t>对设置好的病历</w:t>
            </w:r>
            <w:r>
              <w:rPr>
                <w:rFonts w:hint="eastAsia" w:ascii="宋体" w:hAnsi="宋体" w:cs="宋体"/>
                <w:color w:val="auto"/>
                <w:kern w:val="0"/>
                <w:szCs w:val="21"/>
                <w:highlight w:val="none"/>
                <w:lang w:val="en-US" w:eastAsia="zh-CN"/>
              </w:rPr>
              <w:t>时限</w:t>
            </w:r>
            <w:r>
              <w:rPr>
                <w:rFonts w:hint="eastAsia" w:ascii="宋体" w:hAnsi="宋体" w:cs="宋体"/>
                <w:color w:val="auto"/>
                <w:kern w:val="0"/>
                <w:szCs w:val="21"/>
                <w:highlight w:val="none"/>
              </w:rPr>
              <w:t>规则，可以把规则放到指标当中计算数据，也可以用于评审病历查询。</w:t>
            </w:r>
            <w:r>
              <w:rPr>
                <w:rFonts w:hint="eastAsia" w:ascii="宋体" w:hAnsi="宋体" w:cs="宋体"/>
                <w:color w:val="auto"/>
                <w:szCs w:val="21"/>
                <w:highlight w:val="none"/>
              </w:rPr>
              <w:t>通过单个或复合关键字或固定元素搜索提取符合条件的病历，从而挖掘出所需的全院每个月的发生例数、死亡率、</w:t>
            </w:r>
            <w:r>
              <w:rPr>
                <w:rFonts w:hint="eastAsia" w:ascii="宋体" w:hAnsi="宋体" w:cs="宋体"/>
                <w:color w:val="auto"/>
                <w:szCs w:val="21"/>
                <w:highlight w:val="none"/>
                <w:lang w:val="en-US" w:eastAsia="zh-CN"/>
              </w:rPr>
              <w:t>并发症发生率、</w:t>
            </w:r>
            <w:r>
              <w:rPr>
                <w:rFonts w:hint="eastAsia" w:ascii="宋体" w:hAnsi="宋体" w:cs="宋体"/>
                <w:color w:val="auto"/>
                <w:szCs w:val="21"/>
                <w:highlight w:val="none"/>
              </w:rPr>
              <w:t>签字出院率等详细信息，达到灵活的功能需求。</w:t>
            </w:r>
          </w:p>
        </w:tc>
        <w:tc>
          <w:tcPr>
            <w:tcW w:w="1172" w:type="dxa"/>
            <w:noWrap w:val="0"/>
            <w:vAlign w:val="top"/>
          </w:tcPr>
          <w:p w14:paraId="5097132E">
            <w:pPr>
              <w:jc w:val="left"/>
              <w:rPr>
                <w:rFonts w:hint="eastAsia" w:ascii="宋体" w:hAnsi="宋体" w:cs="宋体"/>
                <w:color w:val="auto"/>
                <w:szCs w:val="21"/>
                <w:highlight w:val="none"/>
              </w:rPr>
            </w:pPr>
          </w:p>
        </w:tc>
      </w:tr>
      <w:tr w14:paraId="7F2BF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5F5DC7A2">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781" w:type="dxa"/>
            <w:vMerge w:val="continue"/>
            <w:noWrap w:val="0"/>
            <w:vAlign w:val="center"/>
          </w:tcPr>
          <w:p w14:paraId="3BF302BB">
            <w:pPr>
              <w:widowControl/>
              <w:jc w:val="center"/>
              <w:rPr>
                <w:rFonts w:hint="eastAsia" w:ascii="宋体" w:hAnsi="宋体" w:cs="宋体"/>
                <w:color w:val="auto"/>
                <w:szCs w:val="21"/>
                <w:highlight w:val="none"/>
              </w:rPr>
            </w:pPr>
          </w:p>
        </w:tc>
        <w:tc>
          <w:tcPr>
            <w:tcW w:w="824" w:type="dxa"/>
            <w:gridSpan w:val="2"/>
            <w:noWrap w:val="0"/>
            <w:vAlign w:val="center"/>
          </w:tcPr>
          <w:p w14:paraId="60AD1213">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手动录入</w:t>
            </w:r>
          </w:p>
        </w:tc>
        <w:tc>
          <w:tcPr>
            <w:tcW w:w="5214" w:type="dxa"/>
            <w:noWrap w:val="0"/>
            <w:vAlign w:val="center"/>
          </w:tcPr>
          <w:p w14:paraId="710F8689">
            <w:pPr>
              <w:widowControl/>
              <w:jc w:val="left"/>
              <w:rPr>
                <w:rFonts w:hint="eastAsia" w:ascii="宋体" w:hAnsi="宋体" w:cs="宋体"/>
                <w:color w:val="auto"/>
                <w:szCs w:val="21"/>
                <w:highlight w:val="none"/>
              </w:rPr>
            </w:pPr>
            <w:r>
              <w:rPr>
                <w:rFonts w:hint="eastAsia" w:ascii="宋体" w:hAnsi="宋体" w:cs="宋体"/>
                <w:color w:val="auto"/>
                <w:szCs w:val="21"/>
                <w:highlight w:val="none"/>
              </w:rPr>
              <w:t>涉及到无法取到数据源的指标或者取数困难的指标，提供手动录入功能，手动录入功能分单个录入和文档导入形式两种方式。对于无法提供业务系统数据源进行汇总的指标，可以把基础数据以Excel的格式导入到数据库，然后再使用指标管理功能进行汇总。</w:t>
            </w:r>
          </w:p>
        </w:tc>
        <w:tc>
          <w:tcPr>
            <w:tcW w:w="1172" w:type="dxa"/>
            <w:noWrap w:val="0"/>
            <w:vAlign w:val="top"/>
          </w:tcPr>
          <w:p w14:paraId="42925676">
            <w:pPr>
              <w:jc w:val="left"/>
              <w:rPr>
                <w:rFonts w:hint="eastAsia" w:ascii="宋体" w:hAnsi="宋体" w:cs="宋体"/>
                <w:color w:val="auto"/>
                <w:szCs w:val="21"/>
                <w:highlight w:val="none"/>
              </w:rPr>
            </w:pPr>
          </w:p>
        </w:tc>
      </w:tr>
      <w:tr w14:paraId="3210D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EF82092">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p w14:paraId="565C348C">
            <w:pPr>
              <w:widowControl/>
              <w:jc w:val="center"/>
              <w:rPr>
                <w:rFonts w:ascii="宋体" w:hAnsi="宋体" w:cs="宋体"/>
                <w:color w:val="auto"/>
                <w:kern w:val="0"/>
                <w:szCs w:val="21"/>
                <w:highlight w:val="none"/>
              </w:rPr>
            </w:pPr>
          </w:p>
          <w:p w14:paraId="7A95DEBD">
            <w:pPr>
              <w:widowControl/>
              <w:jc w:val="center"/>
              <w:rPr>
                <w:rFonts w:ascii="宋体" w:hAnsi="宋体" w:cs="宋体"/>
                <w:color w:val="auto"/>
                <w:kern w:val="0"/>
                <w:szCs w:val="21"/>
                <w:highlight w:val="none"/>
              </w:rPr>
            </w:pPr>
          </w:p>
        </w:tc>
        <w:tc>
          <w:tcPr>
            <w:tcW w:w="781" w:type="dxa"/>
            <w:vMerge w:val="restart"/>
            <w:noWrap w:val="0"/>
            <w:vAlign w:val="center"/>
          </w:tcPr>
          <w:p w14:paraId="1DA40E08">
            <w:pPr>
              <w:widowControl/>
              <w:jc w:val="center"/>
              <w:rPr>
                <w:rFonts w:ascii="宋体" w:hAnsi="宋体" w:cs="宋体"/>
                <w:color w:val="auto"/>
                <w:szCs w:val="21"/>
                <w:highlight w:val="none"/>
              </w:rPr>
            </w:pPr>
            <w:r>
              <w:rPr>
                <w:rFonts w:hint="eastAsia" w:ascii="宋体" w:hAnsi="宋体" w:cs="宋体"/>
                <w:color w:val="auto"/>
                <w:szCs w:val="21"/>
                <w:highlight w:val="none"/>
              </w:rPr>
              <w:t>数据管理</w:t>
            </w:r>
          </w:p>
        </w:tc>
        <w:tc>
          <w:tcPr>
            <w:tcW w:w="824" w:type="dxa"/>
            <w:gridSpan w:val="2"/>
            <w:noWrap w:val="0"/>
            <w:vAlign w:val="center"/>
          </w:tcPr>
          <w:p w14:paraId="4B94162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单病种</w:t>
            </w:r>
          </w:p>
        </w:tc>
        <w:tc>
          <w:tcPr>
            <w:tcW w:w="5214" w:type="dxa"/>
            <w:noWrap w:val="0"/>
            <w:vAlign w:val="top"/>
          </w:tcPr>
          <w:p w14:paraId="21A449A9">
            <w:pPr>
              <w:pStyle w:val="24"/>
              <w:ind w:left="0" w:firstLine="0"/>
              <w:rPr>
                <w:rFonts w:hint="eastAsia" w:ascii="宋体" w:hAnsi="宋体" w:cs="宋体"/>
                <w:color w:val="auto"/>
                <w:szCs w:val="21"/>
                <w:highlight w:val="none"/>
              </w:rPr>
            </w:pPr>
            <w:r>
              <w:rPr>
                <w:rFonts w:hint="default" w:hAnsi="Calibri" w:cs="Times New Roman"/>
                <w:color w:val="auto"/>
                <w:szCs w:val="24"/>
                <w:highlight w:val="none"/>
              </w:rPr>
              <w:t>系统支持从国家单病种平台下载的单病种（</w:t>
            </w:r>
            <w:r>
              <w:rPr>
                <w:rFonts w:hint="default" w:hAnsi="Calibri" w:cs="Times New Roman"/>
                <w:color w:val="auto"/>
                <w:szCs w:val="24"/>
                <w:highlight w:val="none"/>
                <w:lang w:val="en-US" w:eastAsia="zh-CN"/>
              </w:rPr>
              <w:t>等级评审</w:t>
            </w:r>
            <w:r>
              <w:rPr>
                <w:rFonts w:hint="default" w:hAnsi="Calibri" w:cs="Times New Roman"/>
                <w:color w:val="auto"/>
                <w:szCs w:val="24"/>
                <w:highlight w:val="none"/>
              </w:rPr>
              <w:t>要求的病种）Excel数据直接导入作为单病种数据源；</w:t>
            </w:r>
            <w:r>
              <w:rPr>
                <w:rFonts w:hint="default" w:ascii="宋体" w:hAnsi="Calibri" w:cs="Times New Roman"/>
                <w:color w:val="auto"/>
                <w:szCs w:val="24"/>
                <w:highlight w:val="none"/>
              </w:rPr>
              <w:t>支持国家单病种平台下载的数据源字段扩展时，导入模板的变动配置；支持手工录入</w:t>
            </w:r>
            <w:r>
              <w:rPr>
                <w:rFonts w:hint="eastAsia" w:cs="Times New Roman"/>
                <w:color w:val="auto"/>
                <w:szCs w:val="24"/>
                <w:highlight w:val="none"/>
                <w:lang w:val="en-US" w:eastAsia="zh-CN"/>
              </w:rPr>
              <w:t>或修改</w:t>
            </w:r>
            <w:r>
              <w:rPr>
                <w:rFonts w:hint="default" w:ascii="宋体" w:hAnsi="Calibri" w:cs="Times New Roman"/>
                <w:color w:val="auto"/>
                <w:szCs w:val="24"/>
                <w:highlight w:val="none"/>
              </w:rPr>
              <w:t>。</w:t>
            </w:r>
          </w:p>
        </w:tc>
        <w:tc>
          <w:tcPr>
            <w:tcW w:w="1172" w:type="dxa"/>
            <w:noWrap w:val="0"/>
            <w:vAlign w:val="top"/>
          </w:tcPr>
          <w:p w14:paraId="0EDC674A">
            <w:pPr>
              <w:jc w:val="left"/>
              <w:rPr>
                <w:rFonts w:hint="eastAsia" w:ascii="宋体" w:hAnsi="宋体" w:cs="宋体"/>
                <w:color w:val="auto"/>
                <w:szCs w:val="21"/>
                <w:highlight w:val="none"/>
              </w:rPr>
            </w:pPr>
          </w:p>
        </w:tc>
      </w:tr>
      <w:tr w14:paraId="3A52E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noWrap w:val="0"/>
            <w:vAlign w:val="center"/>
          </w:tcPr>
          <w:p w14:paraId="5CB524AD">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p>
        </w:tc>
        <w:tc>
          <w:tcPr>
            <w:tcW w:w="781" w:type="dxa"/>
            <w:vMerge w:val="continue"/>
            <w:noWrap w:val="0"/>
            <w:vAlign w:val="center"/>
          </w:tcPr>
          <w:p w14:paraId="1C25E836">
            <w:pPr>
              <w:widowControl/>
              <w:jc w:val="center"/>
              <w:rPr>
                <w:rFonts w:hint="eastAsia" w:ascii="宋体" w:hAnsi="宋体" w:cs="宋体"/>
                <w:color w:val="auto"/>
                <w:szCs w:val="21"/>
                <w:highlight w:val="none"/>
              </w:rPr>
            </w:pPr>
          </w:p>
        </w:tc>
        <w:tc>
          <w:tcPr>
            <w:tcW w:w="824" w:type="dxa"/>
            <w:gridSpan w:val="2"/>
            <w:noWrap w:val="0"/>
            <w:vAlign w:val="center"/>
          </w:tcPr>
          <w:p w14:paraId="3A146295">
            <w:pPr>
              <w:widowControl/>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备注</w:t>
            </w:r>
            <w:r>
              <w:rPr>
                <w:rFonts w:hint="eastAsia" w:ascii="宋体" w:hAnsi="宋体" w:cs="宋体"/>
                <w:color w:val="auto"/>
                <w:szCs w:val="21"/>
                <w:highlight w:val="none"/>
              </w:rPr>
              <w:t>功能</w:t>
            </w:r>
          </w:p>
        </w:tc>
        <w:tc>
          <w:tcPr>
            <w:tcW w:w="5214" w:type="dxa"/>
            <w:noWrap w:val="0"/>
            <w:vAlign w:val="top"/>
          </w:tcPr>
          <w:p w14:paraId="697330CD">
            <w:pPr>
              <w:widowControl/>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所有统计的数据可进行人工备注，</w:t>
            </w:r>
            <w:r>
              <w:rPr>
                <w:rFonts w:hint="eastAsia" w:ascii="宋体" w:hAnsi="宋体" w:cs="宋体"/>
                <w:color w:val="auto"/>
                <w:szCs w:val="21"/>
                <w:highlight w:val="none"/>
              </w:rPr>
              <w:t>便于指标管理功能进行汇总。</w:t>
            </w:r>
          </w:p>
        </w:tc>
        <w:tc>
          <w:tcPr>
            <w:tcW w:w="1172" w:type="dxa"/>
            <w:noWrap w:val="0"/>
            <w:vAlign w:val="top"/>
          </w:tcPr>
          <w:p w14:paraId="562B3D41">
            <w:pPr>
              <w:jc w:val="left"/>
              <w:rPr>
                <w:rFonts w:hint="eastAsia" w:ascii="宋体" w:hAnsi="宋体" w:cs="宋体"/>
                <w:color w:val="auto"/>
                <w:szCs w:val="21"/>
                <w:highlight w:val="none"/>
              </w:rPr>
            </w:pPr>
          </w:p>
        </w:tc>
      </w:tr>
      <w:tr w14:paraId="63340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trPr>
        <w:tc>
          <w:tcPr>
            <w:tcW w:w="531" w:type="dxa"/>
            <w:noWrap w:val="0"/>
            <w:vAlign w:val="center"/>
          </w:tcPr>
          <w:p w14:paraId="2ECC8300">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w:t>
            </w:r>
          </w:p>
        </w:tc>
        <w:tc>
          <w:tcPr>
            <w:tcW w:w="781" w:type="dxa"/>
            <w:vMerge w:val="continue"/>
            <w:noWrap w:val="0"/>
            <w:vAlign w:val="center"/>
          </w:tcPr>
          <w:p w14:paraId="2A533B5E">
            <w:pPr>
              <w:widowControl/>
              <w:jc w:val="center"/>
              <w:rPr>
                <w:rFonts w:hint="eastAsia" w:ascii="宋体" w:hAnsi="宋体" w:cs="宋体"/>
                <w:color w:val="auto"/>
                <w:szCs w:val="21"/>
                <w:highlight w:val="none"/>
              </w:rPr>
            </w:pPr>
          </w:p>
        </w:tc>
        <w:tc>
          <w:tcPr>
            <w:tcW w:w="824" w:type="dxa"/>
            <w:gridSpan w:val="2"/>
            <w:noWrap w:val="0"/>
            <w:vAlign w:val="center"/>
          </w:tcPr>
          <w:p w14:paraId="7D5AA930">
            <w:pPr>
              <w:widowControl/>
              <w:jc w:val="center"/>
              <w:rPr>
                <w:rFonts w:ascii="宋体" w:hAnsi="宋体" w:cs="宋体"/>
                <w:color w:val="auto"/>
                <w:szCs w:val="21"/>
                <w:highlight w:val="none"/>
              </w:rPr>
            </w:pPr>
            <w:r>
              <w:rPr>
                <w:rFonts w:hint="eastAsia" w:ascii="宋体" w:hAnsi="宋体" w:cs="宋体"/>
                <w:color w:val="auto"/>
                <w:szCs w:val="21"/>
                <w:highlight w:val="none"/>
              </w:rPr>
              <w:t>▲数据核验</w:t>
            </w:r>
          </w:p>
        </w:tc>
        <w:tc>
          <w:tcPr>
            <w:tcW w:w="5214" w:type="dxa"/>
            <w:noWrap w:val="0"/>
            <w:vAlign w:val="center"/>
          </w:tcPr>
          <w:p w14:paraId="74E5B626">
            <w:pPr>
              <w:widowControl/>
              <w:jc w:val="left"/>
              <w:rPr>
                <w:rFonts w:hint="eastAsia" w:ascii="宋体" w:hAnsi="宋体" w:cs="宋体"/>
                <w:color w:val="auto"/>
                <w:szCs w:val="21"/>
                <w:highlight w:val="none"/>
              </w:rPr>
            </w:pPr>
            <w:r>
              <w:rPr>
                <w:rFonts w:hint="eastAsia" w:ascii="宋体" w:hAnsi="宋体" w:cs="宋体"/>
                <w:color w:val="auto"/>
                <w:szCs w:val="21"/>
                <w:highlight w:val="none"/>
              </w:rPr>
              <w:t>系统需自动对数据取数错误、计算错误、比例计算错误、分子分母逻辑错误、数据与明细不对应等逻辑错误进行</w:t>
            </w:r>
            <w:r>
              <w:rPr>
                <w:rFonts w:hint="eastAsia" w:ascii="宋体" w:hAnsi="宋体" w:cs="宋体"/>
                <w:color w:val="auto"/>
                <w:szCs w:val="21"/>
                <w:highlight w:val="none"/>
                <w:lang w:val="en-US" w:eastAsia="zh-CN"/>
              </w:rPr>
              <w:t>核验</w:t>
            </w:r>
            <w:r>
              <w:rPr>
                <w:rFonts w:hint="eastAsia" w:ascii="宋体" w:hAnsi="宋体" w:cs="宋体"/>
                <w:color w:val="auto"/>
                <w:szCs w:val="21"/>
                <w:highlight w:val="none"/>
              </w:rPr>
              <w:t>并提示错误。</w:t>
            </w:r>
          </w:p>
        </w:tc>
        <w:tc>
          <w:tcPr>
            <w:tcW w:w="1172" w:type="dxa"/>
            <w:noWrap w:val="0"/>
            <w:vAlign w:val="top"/>
          </w:tcPr>
          <w:p w14:paraId="084D4696">
            <w:pPr>
              <w:jc w:val="left"/>
              <w:rPr>
                <w:rFonts w:hint="default" w:ascii="宋体" w:hAnsi="宋体" w:eastAsia="宋体" w:cs="宋体"/>
                <w:color w:val="auto"/>
                <w:szCs w:val="21"/>
                <w:highlight w:val="none"/>
                <w:lang w:val="en-US" w:eastAsia="zh-CN"/>
              </w:rPr>
            </w:pPr>
          </w:p>
        </w:tc>
      </w:tr>
      <w:tr w14:paraId="4F7A6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noWrap w:val="0"/>
            <w:vAlign w:val="center"/>
          </w:tcPr>
          <w:p w14:paraId="4A51177E">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w:t>
            </w:r>
          </w:p>
        </w:tc>
        <w:tc>
          <w:tcPr>
            <w:tcW w:w="781" w:type="dxa"/>
            <w:vMerge w:val="continue"/>
            <w:noWrap w:val="0"/>
            <w:vAlign w:val="center"/>
          </w:tcPr>
          <w:p w14:paraId="71A5F2B1">
            <w:pPr>
              <w:widowControl/>
              <w:jc w:val="center"/>
              <w:rPr>
                <w:rFonts w:hint="eastAsia" w:ascii="宋体" w:hAnsi="宋体" w:cs="宋体"/>
                <w:color w:val="auto"/>
                <w:szCs w:val="21"/>
                <w:highlight w:val="none"/>
              </w:rPr>
            </w:pPr>
          </w:p>
        </w:tc>
        <w:tc>
          <w:tcPr>
            <w:tcW w:w="824" w:type="dxa"/>
            <w:gridSpan w:val="2"/>
            <w:noWrap w:val="0"/>
            <w:vAlign w:val="center"/>
          </w:tcPr>
          <w:p w14:paraId="30B790F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▲统计查询</w:t>
            </w:r>
          </w:p>
        </w:tc>
        <w:tc>
          <w:tcPr>
            <w:tcW w:w="5214" w:type="dxa"/>
            <w:noWrap w:val="0"/>
            <w:vAlign w:val="center"/>
          </w:tcPr>
          <w:p w14:paraId="15761F54">
            <w:pPr>
              <w:widowControl/>
              <w:jc w:val="left"/>
              <w:rPr>
                <w:rFonts w:hint="eastAsia" w:ascii="宋体" w:hAnsi="宋体" w:cs="宋体"/>
                <w:color w:val="auto"/>
                <w:szCs w:val="21"/>
                <w:highlight w:val="none"/>
              </w:rPr>
            </w:pPr>
            <w:r>
              <w:rPr>
                <w:rFonts w:hint="eastAsia" w:ascii="宋体" w:hAnsi="宋体" w:cs="宋体"/>
                <w:color w:val="auto"/>
                <w:szCs w:val="21"/>
                <w:highlight w:val="none"/>
              </w:rPr>
              <w:t>可建立不同时间段、科室分组的指标统计表，定期</w:t>
            </w:r>
            <w:r>
              <w:rPr>
                <w:rFonts w:hint="eastAsia" w:ascii="宋体" w:hAnsi="宋体" w:cs="宋体"/>
                <w:strike w:val="0"/>
                <w:color w:val="auto"/>
                <w:szCs w:val="21"/>
                <w:highlight w:val="none"/>
              </w:rPr>
              <w:t>（</w:t>
            </w:r>
            <w:r>
              <w:rPr>
                <w:rFonts w:hint="eastAsia" w:ascii="宋体" w:hAnsi="宋体" w:cs="宋体"/>
                <w:strike w:val="0"/>
                <w:color w:val="auto"/>
                <w:szCs w:val="21"/>
                <w:highlight w:val="none"/>
                <w:lang w:val="en-US" w:eastAsia="zh-CN"/>
              </w:rPr>
              <w:t>精确至“日”</w:t>
            </w:r>
            <w:r>
              <w:rPr>
                <w:rFonts w:hint="eastAsia" w:ascii="宋体" w:hAnsi="宋体" w:cs="宋体"/>
                <w:strike w:val="0"/>
                <w:color w:val="auto"/>
                <w:szCs w:val="21"/>
                <w:highlight w:val="none"/>
              </w:rPr>
              <w:t>）</w:t>
            </w:r>
            <w:r>
              <w:rPr>
                <w:rFonts w:hint="eastAsia" w:ascii="宋体" w:hAnsi="宋体" w:cs="宋体"/>
                <w:color w:val="auto"/>
                <w:szCs w:val="21"/>
                <w:highlight w:val="none"/>
              </w:rPr>
              <w:t>更新数据，还可</w:t>
            </w:r>
            <w:r>
              <w:rPr>
                <w:rFonts w:hint="eastAsia" w:ascii="宋体" w:hAnsi="宋体" w:cs="宋体"/>
                <w:color w:val="auto"/>
                <w:kern w:val="0"/>
                <w:szCs w:val="21"/>
                <w:highlight w:val="none"/>
              </w:rPr>
              <w:t>提供自定义查询功能，灵活查询需要的相关数据。</w:t>
            </w:r>
          </w:p>
        </w:tc>
        <w:tc>
          <w:tcPr>
            <w:tcW w:w="1172" w:type="dxa"/>
            <w:noWrap w:val="0"/>
            <w:vAlign w:val="top"/>
          </w:tcPr>
          <w:p w14:paraId="1976EF40">
            <w:pPr>
              <w:jc w:val="left"/>
              <w:rPr>
                <w:rFonts w:hint="eastAsia" w:ascii="宋体" w:hAnsi="宋体" w:cs="宋体"/>
                <w:color w:val="auto"/>
                <w:szCs w:val="21"/>
                <w:highlight w:val="none"/>
              </w:rPr>
            </w:pPr>
          </w:p>
        </w:tc>
      </w:tr>
      <w:tr w14:paraId="0122A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589C1BFC">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w:t>
            </w:r>
          </w:p>
        </w:tc>
        <w:tc>
          <w:tcPr>
            <w:tcW w:w="781" w:type="dxa"/>
            <w:vMerge w:val="continue"/>
            <w:noWrap w:val="0"/>
            <w:vAlign w:val="center"/>
          </w:tcPr>
          <w:p w14:paraId="42A87B78">
            <w:pPr>
              <w:widowControl/>
              <w:jc w:val="center"/>
              <w:rPr>
                <w:rFonts w:hint="eastAsia" w:ascii="宋体" w:hAnsi="宋体" w:cs="宋体"/>
                <w:color w:val="auto"/>
                <w:szCs w:val="21"/>
                <w:highlight w:val="none"/>
              </w:rPr>
            </w:pPr>
          </w:p>
        </w:tc>
        <w:tc>
          <w:tcPr>
            <w:tcW w:w="824" w:type="dxa"/>
            <w:gridSpan w:val="2"/>
            <w:noWrap w:val="0"/>
            <w:vAlign w:val="center"/>
          </w:tcPr>
          <w:p w14:paraId="0A93A9E2">
            <w:pPr>
              <w:widowControl/>
              <w:jc w:val="center"/>
              <w:rPr>
                <w:rFonts w:ascii="宋体" w:hAnsi="宋体" w:cs="宋体"/>
                <w:color w:val="auto"/>
                <w:szCs w:val="21"/>
                <w:highlight w:val="none"/>
              </w:rPr>
            </w:pPr>
            <w:r>
              <w:rPr>
                <w:rFonts w:hint="eastAsia" w:ascii="宋体" w:hAnsi="宋体" w:cs="宋体"/>
                <w:color w:val="auto"/>
                <w:szCs w:val="21"/>
                <w:highlight w:val="none"/>
                <w:lang w:val="en-US" w:eastAsia="zh-CN"/>
              </w:rPr>
              <w:t>数据提取</w:t>
            </w:r>
          </w:p>
        </w:tc>
        <w:tc>
          <w:tcPr>
            <w:tcW w:w="5214" w:type="dxa"/>
            <w:noWrap w:val="0"/>
            <w:vAlign w:val="top"/>
          </w:tcPr>
          <w:p w14:paraId="0907E26C">
            <w:pPr>
              <w:pStyle w:val="7"/>
              <w:rPr>
                <w:rFonts w:hint="eastAsia" w:hAnsi="宋体" w:cs="宋体"/>
                <w:color w:val="auto"/>
                <w:szCs w:val="21"/>
                <w:highlight w:val="none"/>
              </w:rPr>
            </w:pPr>
            <w:r>
              <w:rPr>
                <w:rFonts w:hint="eastAsia" w:hAnsi="宋体" w:cs="宋体"/>
                <w:color w:val="auto"/>
                <w:szCs w:val="21"/>
                <w:highlight w:val="none"/>
              </w:rPr>
              <w:t>支持按指标章节或具体指标编码配置取数，实现快速抓取指定章节或具体指标数据。</w:t>
            </w:r>
          </w:p>
          <w:p w14:paraId="3B74F264">
            <w:pPr>
              <w:pStyle w:val="7"/>
              <w:rPr>
                <w:rFonts w:hint="eastAsia" w:hAnsi="宋体" w:cs="宋体"/>
                <w:color w:val="auto"/>
                <w:szCs w:val="21"/>
                <w:highlight w:val="none"/>
              </w:rPr>
            </w:pPr>
            <w:r>
              <w:rPr>
                <w:rFonts w:hint="eastAsia" w:hAnsi="宋体" w:cs="宋体"/>
                <w:color w:val="auto"/>
                <w:szCs w:val="21"/>
                <w:highlight w:val="none"/>
              </w:rPr>
              <w:t>具备实时监控取数状态功能，及时发现取数异常情况，保证抓取效率；异常状态红色标注警示，异常原因详细记录。</w:t>
            </w:r>
          </w:p>
          <w:p w14:paraId="524F29CC">
            <w:pPr>
              <w:pStyle w:val="7"/>
              <w:rPr>
                <w:rFonts w:hint="eastAsia" w:hAnsi="宋体" w:cs="宋体"/>
                <w:color w:val="auto"/>
                <w:szCs w:val="21"/>
                <w:highlight w:val="none"/>
              </w:rPr>
            </w:pPr>
            <w:r>
              <w:rPr>
                <w:rFonts w:hint="eastAsia" w:hAnsi="宋体" w:cs="宋体"/>
                <w:color w:val="auto"/>
                <w:szCs w:val="21"/>
                <w:highlight w:val="none"/>
              </w:rPr>
              <w:t>具备自动核验同名指标数值不同机制。</w:t>
            </w:r>
          </w:p>
        </w:tc>
        <w:tc>
          <w:tcPr>
            <w:tcW w:w="1172" w:type="dxa"/>
            <w:noWrap w:val="0"/>
            <w:vAlign w:val="top"/>
          </w:tcPr>
          <w:p w14:paraId="258F470F">
            <w:pPr>
              <w:jc w:val="left"/>
              <w:rPr>
                <w:rFonts w:hint="eastAsia" w:ascii="宋体" w:hAnsi="宋体" w:cs="宋体"/>
                <w:color w:val="auto"/>
                <w:szCs w:val="21"/>
                <w:highlight w:val="none"/>
              </w:rPr>
            </w:pPr>
          </w:p>
        </w:tc>
      </w:tr>
      <w:tr w14:paraId="591F6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4345C3C8">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24</w:t>
            </w:r>
          </w:p>
        </w:tc>
        <w:tc>
          <w:tcPr>
            <w:tcW w:w="781" w:type="dxa"/>
            <w:vMerge w:val="continue"/>
            <w:noWrap w:val="0"/>
            <w:vAlign w:val="center"/>
          </w:tcPr>
          <w:p w14:paraId="77EDD68C">
            <w:pPr>
              <w:widowControl/>
              <w:jc w:val="center"/>
              <w:rPr>
                <w:rFonts w:hint="eastAsia" w:ascii="宋体" w:hAnsi="宋体" w:cs="宋体"/>
                <w:color w:val="auto"/>
                <w:szCs w:val="21"/>
                <w:highlight w:val="none"/>
              </w:rPr>
            </w:pPr>
          </w:p>
        </w:tc>
        <w:tc>
          <w:tcPr>
            <w:tcW w:w="824" w:type="dxa"/>
            <w:gridSpan w:val="2"/>
            <w:noWrap w:val="0"/>
            <w:vAlign w:val="center"/>
          </w:tcPr>
          <w:p w14:paraId="4BB95D33">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数据过滤</w:t>
            </w:r>
          </w:p>
        </w:tc>
        <w:tc>
          <w:tcPr>
            <w:tcW w:w="5214" w:type="dxa"/>
            <w:noWrap w:val="0"/>
            <w:vAlign w:val="top"/>
          </w:tcPr>
          <w:p w14:paraId="4D052C67">
            <w:pPr>
              <w:pStyle w:val="7"/>
              <w:rPr>
                <w:rFonts w:hint="eastAsia" w:hAnsi="宋体" w:cs="宋体"/>
                <w:color w:val="auto"/>
                <w:szCs w:val="21"/>
                <w:highlight w:val="none"/>
              </w:rPr>
            </w:pPr>
            <w:r>
              <w:rPr>
                <w:rFonts w:hint="eastAsia" w:hAnsi="宋体" w:cs="宋体"/>
                <w:color w:val="auto"/>
                <w:szCs w:val="21"/>
                <w:highlight w:val="none"/>
              </w:rPr>
              <w:t>支持配置指标取数冗余天数，保证修改数据及时抓取。</w:t>
            </w:r>
          </w:p>
          <w:p w14:paraId="4AB9F944">
            <w:pPr>
              <w:pStyle w:val="7"/>
              <w:rPr>
                <w:rFonts w:hint="eastAsia" w:hAnsi="宋体" w:cs="宋体"/>
                <w:color w:val="auto"/>
                <w:szCs w:val="21"/>
                <w:highlight w:val="none"/>
              </w:rPr>
            </w:pPr>
            <w:r>
              <w:rPr>
                <w:rFonts w:hint="eastAsia" w:hAnsi="宋体" w:cs="宋体"/>
                <w:color w:val="auto"/>
                <w:szCs w:val="21"/>
                <w:highlight w:val="none"/>
              </w:rPr>
              <w:t>支持配置指标失败阈值，避免因意外情况导致取数失败。</w:t>
            </w:r>
          </w:p>
          <w:p w14:paraId="303E3A61">
            <w:pPr>
              <w:pStyle w:val="7"/>
              <w:rPr>
                <w:rFonts w:hint="eastAsia" w:hAnsi="宋体" w:cs="宋体"/>
                <w:color w:val="auto"/>
                <w:szCs w:val="21"/>
                <w:highlight w:val="none"/>
              </w:rPr>
            </w:pPr>
            <w:r>
              <w:rPr>
                <w:rFonts w:hint="eastAsia" w:hAnsi="宋体" w:cs="宋体"/>
                <w:color w:val="auto"/>
                <w:szCs w:val="21"/>
                <w:highlight w:val="none"/>
              </w:rPr>
              <w:t>支持配置取数频率和时间范围。</w:t>
            </w:r>
          </w:p>
          <w:p w14:paraId="79B46DA1">
            <w:pPr>
              <w:pStyle w:val="7"/>
              <w:rPr>
                <w:rFonts w:hint="eastAsia" w:hAnsi="宋体" w:eastAsia="宋体" w:cs="宋体"/>
                <w:color w:val="auto"/>
                <w:szCs w:val="21"/>
                <w:highlight w:val="none"/>
                <w:lang w:eastAsia="zh-CN"/>
              </w:rPr>
            </w:pPr>
            <w:r>
              <w:rPr>
                <w:rFonts w:hint="eastAsia" w:hAnsi="宋体" w:cs="宋体"/>
                <w:color w:val="auto"/>
                <w:szCs w:val="21"/>
                <w:highlight w:val="none"/>
              </w:rPr>
              <w:t>支持手动抓取数据，便于及时查看数据</w:t>
            </w:r>
            <w:r>
              <w:rPr>
                <w:rFonts w:hint="eastAsia" w:hAnsi="宋体" w:cs="宋体"/>
                <w:color w:val="auto"/>
                <w:szCs w:val="21"/>
                <w:highlight w:val="none"/>
                <w:lang w:eastAsia="zh-CN"/>
              </w:rPr>
              <w:t>。</w:t>
            </w:r>
          </w:p>
          <w:p w14:paraId="0599BA4C">
            <w:pPr>
              <w:pStyle w:val="7"/>
              <w:rPr>
                <w:rFonts w:hint="eastAsia" w:hAnsi="宋体" w:cs="宋体"/>
                <w:color w:val="auto"/>
                <w:szCs w:val="21"/>
                <w:highlight w:val="none"/>
                <w:lang w:val="en-US" w:eastAsia="zh-CN"/>
              </w:rPr>
            </w:pPr>
            <w:r>
              <w:rPr>
                <w:rFonts w:hint="eastAsia" w:hAnsi="宋体" w:cs="宋体"/>
                <w:color w:val="auto"/>
                <w:szCs w:val="21"/>
                <w:highlight w:val="none"/>
              </w:rPr>
              <w:t>支持数据校验过滤，例如数值为空(未开展或无法统计) 和零(数值“0”具有统计学意)。</w:t>
            </w:r>
          </w:p>
        </w:tc>
        <w:tc>
          <w:tcPr>
            <w:tcW w:w="1172" w:type="dxa"/>
            <w:noWrap w:val="0"/>
            <w:vAlign w:val="top"/>
          </w:tcPr>
          <w:p w14:paraId="14600589">
            <w:pPr>
              <w:jc w:val="left"/>
              <w:rPr>
                <w:rFonts w:hint="eastAsia" w:ascii="宋体" w:hAnsi="宋体" w:cs="宋体"/>
                <w:color w:val="auto"/>
                <w:szCs w:val="21"/>
                <w:highlight w:val="none"/>
              </w:rPr>
            </w:pPr>
          </w:p>
        </w:tc>
      </w:tr>
      <w:tr w14:paraId="5F353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0A539AEF">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25</w:t>
            </w:r>
          </w:p>
        </w:tc>
        <w:tc>
          <w:tcPr>
            <w:tcW w:w="781" w:type="dxa"/>
            <w:vMerge w:val="continue"/>
            <w:noWrap w:val="0"/>
            <w:vAlign w:val="center"/>
          </w:tcPr>
          <w:p w14:paraId="2D964789">
            <w:pPr>
              <w:widowControl/>
              <w:jc w:val="center"/>
              <w:rPr>
                <w:rFonts w:hint="eastAsia" w:ascii="宋体" w:hAnsi="宋体" w:cs="宋体"/>
                <w:color w:val="auto"/>
                <w:szCs w:val="21"/>
                <w:highlight w:val="none"/>
              </w:rPr>
            </w:pPr>
          </w:p>
        </w:tc>
        <w:tc>
          <w:tcPr>
            <w:tcW w:w="824" w:type="dxa"/>
            <w:gridSpan w:val="2"/>
            <w:noWrap w:val="0"/>
            <w:vAlign w:val="center"/>
          </w:tcPr>
          <w:p w14:paraId="3D671105">
            <w:pPr>
              <w:widowControl/>
              <w:jc w:val="center"/>
              <w:rPr>
                <w:rFonts w:hint="default" w:ascii="宋体" w:hAnsi="宋体" w:cs="宋体"/>
                <w:color w:val="auto"/>
                <w:szCs w:val="21"/>
                <w:highlight w:val="none"/>
                <w:lang w:val="en-US" w:eastAsia="zh-CN"/>
              </w:rPr>
            </w:pPr>
            <w:r>
              <w:rPr>
                <w:rFonts w:hint="eastAsia" w:ascii="宋体" w:hAnsi="宋体" w:eastAsia="宋体" w:cs="宋体"/>
                <w:bCs/>
                <w:color w:val="auto"/>
                <w:szCs w:val="21"/>
                <w:highlight w:val="none"/>
                <w:lang w:val="en-US" w:eastAsia="zh-CN"/>
              </w:rPr>
              <w:t>AI数据管理</w:t>
            </w:r>
          </w:p>
        </w:tc>
        <w:tc>
          <w:tcPr>
            <w:tcW w:w="5214" w:type="dxa"/>
            <w:noWrap w:val="0"/>
            <w:vAlign w:val="top"/>
          </w:tcPr>
          <w:p w14:paraId="7CAD168E">
            <w:pPr>
              <w:numPr>
                <w:ilvl w:val="0"/>
                <w:numId w:val="0"/>
              </w:numPr>
              <w:snapToGrid w:val="0"/>
              <w:spacing w:line="276" w:lineRule="auto"/>
              <w:ind w:firstLine="420" w:firstLineChars="200"/>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支持指标生成器、查询报表生成器、电子表单生成器、工作流设计器、BI看板生成器。</w:t>
            </w:r>
          </w:p>
          <w:p w14:paraId="508CE416">
            <w:pPr>
              <w:numPr>
                <w:ilvl w:val="0"/>
                <w:numId w:val="0"/>
              </w:numPr>
              <w:snapToGrid w:val="0"/>
              <w:spacing w:line="276" w:lineRule="auto"/>
              <w:ind w:firstLine="420" w:firstLineChars="200"/>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AI大模型：支持本地化部署AI大模型，能够在医院内网部署AI大模型，确保医院敏感数据不离开医院内网，屏蔽数据泄露的风险，满足严格的网络安全和数据安全相关要求。‌</w:t>
            </w:r>
          </w:p>
          <w:p w14:paraId="4677FDA5">
            <w:pPr>
              <w:numPr>
                <w:ilvl w:val="0"/>
                <w:numId w:val="0"/>
              </w:numPr>
              <w:snapToGrid w:val="0"/>
              <w:spacing w:line="276" w:lineRule="auto"/>
              <w:ind w:firstLine="420" w:firstLineChars="200"/>
              <w:jc w:val="lef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支持将院内知识库自动上传至AI知识库，构建院内AI知识库。支持通过PC端、移动端等进行AI交互，支持增加“附加内容”进行连续提问。</w:t>
            </w:r>
          </w:p>
          <w:p w14:paraId="5256714D">
            <w:pPr>
              <w:numPr>
                <w:ilvl w:val="0"/>
                <w:numId w:val="0"/>
              </w:numPr>
              <w:snapToGrid w:val="0"/>
              <w:spacing w:line="276" w:lineRule="auto"/>
              <w:ind w:firstLine="0" w:firstLineChars="0"/>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AI交互支持动态获取数据，解析用户问题后从指标数据库中动态查询后给予回答。</w:t>
            </w:r>
          </w:p>
          <w:p w14:paraId="4094974E">
            <w:pPr>
              <w:numPr>
                <w:ilvl w:val="0"/>
                <w:numId w:val="0"/>
              </w:numPr>
              <w:snapToGrid w:val="0"/>
              <w:spacing w:line="276" w:lineRule="auto"/>
              <w:ind w:firstLine="420" w:firstLineChars="200"/>
              <w:jc w:val="left"/>
              <w:rPr>
                <w:rFonts w:hint="eastAsia" w:hAnsi="宋体" w:cs="宋体"/>
                <w:color w:val="auto"/>
                <w:szCs w:val="21"/>
                <w:highlight w:val="none"/>
              </w:rPr>
            </w:pPr>
            <w:r>
              <w:rPr>
                <w:rFonts w:hint="eastAsia" w:ascii="宋体" w:hAnsi="宋体" w:cs="宋体"/>
                <w:bCs/>
                <w:color w:val="auto"/>
                <w:szCs w:val="21"/>
                <w:highlight w:val="none"/>
                <w:lang w:val="en-US" w:eastAsia="zh-CN"/>
              </w:rPr>
              <w:t>数据对接：支持AI数据采集，采用AI技术对非结构化信息进行理解与分析，自动转换成结构化的信息。</w:t>
            </w:r>
          </w:p>
        </w:tc>
        <w:tc>
          <w:tcPr>
            <w:tcW w:w="1172" w:type="dxa"/>
            <w:noWrap w:val="0"/>
            <w:vAlign w:val="top"/>
          </w:tcPr>
          <w:p w14:paraId="6362186B">
            <w:pPr>
              <w:jc w:val="left"/>
              <w:rPr>
                <w:rFonts w:hint="eastAsia" w:ascii="宋体" w:hAnsi="宋体" w:cs="宋体"/>
                <w:color w:val="auto"/>
                <w:szCs w:val="21"/>
                <w:highlight w:val="none"/>
                <w:lang w:val="en-US" w:eastAsia="zh-CN"/>
              </w:rPr>
            </w:pPr>
          </w:p>
        </w:tc>
      </w:tr>
      <w:tr w14:paraId="493E8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550E399A">
            <w:pPr>
              <w:widowControl/>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26</w:t>
            </w:r>
          </w:p>
        </w:tc>
        <w:tc>
          <w:tcPr>
            <w:tcW w:w="781" w:type="dxa"/>
            <w:vMerge w:val="continue"/>
            <w:noWrap w:val="0"/>
            <w:vAlign w:val="center"/>
          </w:tcPr>
          <w:p w14:paraId="490B3951">
            <w:pPr>
              <w:widowControl/>
              <w:jc w:val="center"/>
              <w:rPr>
                <w:rFonts w:hint="eastAsia" w:ascii="宋体" w:hAnsi="宋体" w:cs="宋体"/>
                <w:color w:val="auto"/>
                <w:szCs w:val="21"/>
                <w:highlight w:val="none"/>
              </w:rPr>
            </w:pPr>
          </w:p>
        </w:tc>
        <w:tc>
          <w:tcPr>
            <w:tcW w:w="824" w:type="dxa"/>
            <w:gridSpan w:val="2"/>
            <w:noWrap w:val="0"/>
            <w:vAlign w:val="center"/>
          </w:tcPr>
          <w:p w14:paraId="7BF98B19">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数据展示</w:t>
            </w:r>
          </w:p>
        </w:tc>
        <w:tc>
          <w:tcPr>
            <w:tcW w:w="5214" w:type="dxa"/>
            <w:noWrap w:val="0"/>
            <w:vAlign w:val="top"/>
          </w:tcPr>
          <w:p w14:paraId="413DB3A5">
            <w:pPr>
              <w:pStyle w:val="7"/>
              <w:numPr>
                <w:ilvl w:val="0"/>
                <w:numId w:val="0"/>
              </w:numPr>
              <w:rPr>
                <w:rFonts w:hint="eastAsia"/>
                <w:color w:val="auto"/>
                <w:highlight w:val="none"/>
                <w:lang w:val="en-US" w:eastAsia="zh-CN"/>
              </w:rPr>
            </w:pPr>
            <w:r>
              <w:rPr>
                <w:rFonts w:hint="eastAsia"/>
                <w:color w:val="auto"/>
                <w:highlight w:val="none"/>
                <w:lang w:val="en-US" w:eastAsia="zh-CN"/>
              </w:rPr>
              <w:t>同一数据提取不同时段可设置不同提数规则。</w:t>
            </w:r>
          </w:p>
          <w:p w14:paraId="10B330C7">
            <w:pPr>
              <w:pStyle w:val="7"/>
              <w:rPr>
                <w:rFonts w:hint="eastAsia" w:hAnsi="宋体" w:cs="宋体"/>
                <w:color w:val="auto"/>
                <w:szCs w:val="21"/>
                <w:highlight w:val="none"/>
              </w:rPr>
            </w:pPr>
            <w:r>
              <w:rPr>
                <w:rFonts w:hint="eastAsia" w:hAnsi="宋体" w:cs="宋体"/>
                <w:color w:val="auto"/>
                <w:szCs w:val="21"/>
                <w:highlight w:val="none"/>
              </w:rPr>
              <w:t>支持自定义指标的取数逻辑，包括分子和分母</w:t>
            </w:r>
            <w:r>
              <w:rPr>
                <w:rFonts w:hint="eastAsia" w:hAnsi="宋体" w:cs="宋体"/>
                <w:color w:val="auto"/>
                <w:szCs w:val="21"/>
                <w:highlight w:val="none"/>
                <w:lang w:eastAsia="zh-CN"/>
              </w:rPr>
              <w:t>；</w:t>
            </w:r>
            <w:r>
              <w:rPr>
                <w:rFonts w:hint="eastAsia" w:hAnsi="宋体" w:cs="宋体"/>
                <w:color w:val="auto"/>
                <w:szCs w:val="21"/>
                <w:highlight w:val="none"/>
              </w:rPr>
              <w:t>率类型的指标支持分子和分母作为单独指标展示指标值。</w:t>
            </w:r>
          </w:p>
          <w:p w14:paraId="5FA2A3A0">
            <w:pPr>
              <w:pStyle w:val="7"/>
              <w:numPr>
                <w:ilvl w:val="0"/>
                <w:numId w:val="0"/>
              </w:numPr>
              <w:rPr>
                <w:rFonts w:hint="eastAsia" w:hAnsi="宋体" w:cs="宋体"/>
                <w:color w:val="auto"/>
                <w:szCs w:val="21"/>
                <w:highlight w:val="none"/>
              </w:rPr>
            </w:pPr>
            <w:r>
              <w:rPr>
                <w:rFonts w:hint="eastAsia" w:hAnsi="宋体" w:cs="宋体"/>
                <w:color w:val="auto"/>
                <w:szCs w:val="21"/>
                <w:highlight w:val="none"/>
              </w:rPr>
              <w:t>支持配置指标数据分组字段并对分组结果数据单独存储。</w:t>
            </w:r>
          </w:p>
          <w:p w14:paraId="335E295C">
            <w:pPr>
              <w:pStyle w:val="7"/>
              <w:numPr>
                <w:ilvl w:val="0"/>
                <w:numId w:val="0"/>
              </w:numPr>
              <w:rPr>
                <w:rFonts w:hint="eastAsia" w:hAnsi="宋体" w:cs="宋体"/>
                <w:color w:val="auto"/>
                <w:szCs w:val="21"/>
                <w:highlight w:val="none"/>
                <w:lang w:val="en-US" w:eastAsia="zh-CN"/>
              </w:rPr>
            </w:pPr>
            <w:r>
              <w:rPr>
                <w:rFonts w:hint="eastAsia" w:ascii="Times New Roman" w:hAnsi="宋体" w:eastAsia="宋体" w:cs="宋体"/>
                <w:color w:val="auto"/>
                <w:szCs w:val="21"/>
                <w:highlight w:val="none"/>
              </w:rPr>
              <w:t>支持查看指标脉络图，可查看指标数据来源脉络，追溯到指标最终数据源，并可查看相关联的指标</w:t>
            </w:r>
            <w:r>
              <w:rPr>
                <w:rFonts w:hint="eastAsia" w:ascii="Times New Roman" w:hAnsi="宋体" w:eastAsia="宋体" w:cs="宋体"/>
                <w:color w:val="auto"/>
                <w:szCs w:val="21"/>
                <w:highlight w:val="none"/>
                <w:lang w:eastAsia="zh-CN"/>
              </w:rPr>
              <w:t>。</w:t>
            </w:r>
          </w:p>
        </w:tc>
        <w:tc>
          <w:tcPr>
            <w:tcW w:w="1172" w:type="dxa"/>
            <w:noWrap w:val="0"/>
            <w:vAlign w:val="top"/>
          </w:tcPr>
          <w:p w14:paraId="4FB73A82">
            <w:pPr>
              <w:jc w:val="left"/>
              <w:rPr>
                <w:rFonts w:hint="eastAsia" w:ascii="宋体" w:hAnsi="宋体" w:cs="宋体"/>
                <w:color w:val="auto"/>
                <w:szCs w:val="21"/>
                <w:highlight w:val="none"/>
              </w:rPr>
            </w:pPr>
          </w:p>
        </w:tc>
      </w:tr>
      <w:tr w14:paraId="7141D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noWrap w:val="0"/>
            <w:vAlign w:val="center"/>
          </w:tcPr>
          <w:p w14:paraId="109209D8">
            <w:pP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27</w:t>
            </w:r>
          </w:p>
        </w:tc>
        <w:tc>
          <w:tcPr>
            <w:tcW w:w="781" w:type="dxa"/>
            <w:vMerge w:val="restart"/>
            <w:noWrap w:val="0"/>
            <w:vAlign w:val="center"/>
          </w:tcPr>
          <w:p w14:paraId="66F04A05">
            <w:pPr>
              <w:rPr>
                <w:rFonts w:hint="eastAsia" w:ascii="宋体" w:hAnsi="宋体" w:cs="宋体"/>
                <w:color w:val="auto"/>
                <w:szCs w:val="21"/>
                <w:highlight w:val="none"/>
              </w:rPr>
            </w:pPr>
            <w:r>
              <w:rPr>
                <w:rFonts w:hint="eastAsia" w:ascii="宋体" w:hAnsi="宋体" w:cs="宋体"/>
                <w:color w:val="auto"/>
                <w:szCs w:val="21"/>
                <w:highlight w:val="none"/>
              </w:rPr>
              <w:t>预警管理</w:t>
            </w:r>
          </w:p>
        </w:tc>
        <w:tc>
          <w:tcPr>
            <w:tcW w:w="824" w:type="dxa"/>
            <w:gridSpan w:val="2"/>
            <w:noWrap w:val="0"/>
            <w:vAlign w:val="center"/>
          </w:tcPr>
          <w:p w14:paraId="75F73EBC">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目标值管理</w:t>
            </w:r>
          </w:p>
        </w:tc>
        <w:tc>
          <w:tcPr>
            <w:tcW w:w="5214" w:type="dxa"/>
            <w:noWrap w:val="0"/>
            <w:vAlign w:val="top"/>
          </w:tcPr>
          <w:p w14:paraId="5B55C5CA">
            <w:pPr>
              <w:rPr>
                <w:rFonts w:hint="eastAsia" w:ascii="宋体" w:hAnsi="宋体" w:cs="宋体"/>
                <w:color w:val="auto"/>
                <w:szCs w:val="21"/>
                <w:highlight w:val="none"/>
              </w:rPr>
            </w:pPr>
            <w:r>
              <w:rPr>
                <w:rFonts w:hint="eastAsia" w:ascii="宋体" w:hAnsi="宋体" w:cs="宋体"/>
                <w:color w:val="auto"/>
                <w:szCs w:val="21"/>
                <w:highlight w:val="none"/>
              </w:rPr>
              <w:t>树形结构展示支持配置指标目标值。</w:t>
            </w:r>
          </w:p>
          <w:p w14:paraId="7CBF305C">
            <w:pPr>
              <w:numPr>
                <w:ilvl w:val="0"/>
                <w:numId w:val="0"/>
              </w:numPr>
              <w:rPr>
                <w:rFonts w:hint="eastAsia" w:ascii="宋体" w:hAnsi="宋体" w:cs="宋体"/>
                <w:color w:val="auto"/>
                <w:szCs w:val="21"/>
                <w:highlight w:val="none"/>
              </w:rPr>
            </w:pPr>
            <w:r>
              <w:rPr>
                <w:rFonts w:hint="eastAsia" w:ascii="宋体" w:hAnsi="宋体" w:cs="宋体"/>
                <w:color w:val="auto"/>
                <w:szCs w:val="21"/>
                <w:highlight w:val="none"/>
              </w:rPr>
              <w:t>条件查询：支持院/科两级、年份条件查询；</w:t>
            </w:r>
          </w:p>
          <w:p w14:paraId="1387DB98">
            <w:pPr>
              <w:widowControl/>
              <w:rPr>
                <w:rFonts w:hint="eastAsia" w:ascii="宋体" w:hAnsi="宋体" w:cs="宋体"/>
                <w:color w:val="auto"/>
                <w:szCs w:val="21"/>
                <w:highlight w:val="none"/>
              </w:rPr>
            </w:pPr>
            <w:r>
              <w:rPr>
                <w:rFonts w:hint="eastAsia" w:ascii="宋体" w:hAnsi="宋体" w:cs="宋体"/>
                <w:color w:val="auto"/>
                <w:szCs w:val="21"/>
                <w:highlight w:val="none"/>
              </w:rPr>
              <w:t>支持批量设置目标值。</w:t>
            </w:r>
          </w:p>
          <w:p w14:paraId="3A3B3F31">
            <w:pPr>
              <w:widowControl/>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支持与指标基准值进行对比分析，支持按</w:t>
            </w:r>
            <w:r>
              <w:rPr>
                <w:rFonts w:hint="eastAsia" w:ascii="宋体" w:hAnsi="宋体" w:cs="宋体"/>
                <w:color w:val="auto"/>
                <w:szCs w:val="21"/>
                <w:highlight w:val="none"/>
                <w:lang w:val="en-US" w:eastAsia="zh-CN"/>
              </w:rPr>
              <w:t>中位值、</w:t>
            </w:r>
            <w:r>
              <w:rPr>
                <w:rFonts w:hint="eastAsia" w:ascii="宋体" w:hAnsi="宋体" w:cs="宋体"/>
                <w:color w:val="auto"/>
                <w:szCs w:val="21"/>
                <w:highlight w:val="none"/>
              </w:rPr>
              <w:t>平均数、极值平均数、二次平均数（按低值）、极值二次平均数（按低值）、二次平均数（按高值）、极值二次平均数（按高值）、25分位数、中位</w:t>
            </w:r>
            <w:r>
              <w:rPr>
                <w:rFonts w:hint="eastAsia" w:ascii="宋体" w:hAnsi="宋体" w:cs="宋体"/>
                <w:color w:val="auto"/>
                <w:szCs w:val="21"/>
                <w:highlight w:val="none"/>
                <w:lang w:val="en-US" w:eastAsia="zh-CN"/>
              </w:rPr>
              <w:t>数</w:t>
            </w:r>
            <w:r>
              <w:rPr>
                <w:rFonts w:hint="eastAsia" w:ascii="宋体" w:hAnsi="宋体" w:cs="宋体"/>
                <w:color w:val="auto"/>
                <w:szCs w:val="21"/>
                <w:highlight w:val="none"/>
              </w:rPr>
              <w:t>、75分位数等计算基准值的方法</w:t>
            </w:r>
            <w:r>
              <w:rPr>
                <w:rFonts w:hint="eastAsia" w:ascii="宋体" w:hAnsi="宋体" w:cs="宋体"/>
                <w:color w:val="auto"/>
                <w:szCs w:val="21"/>
                <w:highlight w:val="none"/>
                <w:lang w:eastAsia="zh-CN"/>
              </w:rPr>
              <w:t>。</w:t>
            </w:r>
          </w:p>
        </w:tc>
        <w:tc>
          <w:tcPr>
            <w:tcW w:w="1172" w:type="dxa"/>
            <w:noWrap w:val="0"/>
            <w:vAlign w:val="center"/>
          </w:tcPr>
          <w:p w14:paraId="0130831B">
            <w:pPr>
              <w:widowControl/>
              <w:jc w:val="left"/>
              <w:rPr>
                <w:rFonts w:hint="eastAsia" w:ascii="宋体" w:hAnsi="宋体" w:cs="宋体"/>
                <w:color w:val="auto"/>
                <w:szCs w:val="21"/>
                <w:highlight w:val="none"/>
              </w:rPr>
            </w:pPr>
          </w:p>
        </w:tc>
      </w:tr>
      <w:tr w14:paraId="5E2FC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noWrap w:val="0"/>
            <w:vAlign w:val="center"/>
          </w:tcPr>
          <w:p w14:paraId="00D3626C">
            <w:pP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28</w:t>
            </w:r>
          </w:p>
        </w:tc>
        <w:tc>
          <w:tcPr>
            <w:tcW w:w="781" w:type="dxa"/>
            <w:vMerge w:val="continue"/>
            <w:noWrap w:val="0"/>
            <w:vAlign w:val="center"/>
          </w:tcPr>
          <w:p w14:paraId="01DAEB17">
            <w:pPr>
              <w:rPr>
                <w:rFonts w:hint="eastAsia" w:ascii="宋体" w:hAnsi="宋体" w:cs="宋体"/>
                <w:color w:val="auto"/>
                <w:szCs w:val="21"/>
                <w:highlight w:val="none"/>
              </w:rPr>
            </w:pPr>
          </w:p>
        </w:tc>
        <w:tc>
          <w:tcPr>
            <w:tcW w:w="824" w:type="dxa"/>
            <w:gridSpan w:val="2"/>
            <w:noWrap w:val="0"/>
            <w:vAlign w:val="center"/>
          </w:tcPr>
          <w:p w14:paraId="70E5507F">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指标异常趋势报表</w:t>
            </w:r>
          </w:p>
        </w:tc>
        <w:tc>
          <w:tcPr>
            <w:tcW w:w="5214" w:type="dxa"/>
            <w:noWrap w:val="0"/>
            <w:vAlign w:val="top"/>
          </w:tcPr>
          <w:p w14:paraId="3F642122">
            <w:pPr>
              <w:pStyle w:val="24"/>
              <w:ind w:left="0" w:firstLine="0"/>
              <w:rPr>
                <w:rFonts w:hint="eastAsia" w:hAnsi="宋体" w:cs="宋体"/>
                <w:color w:val="auto"/>
                <w:szCs w:val="21"/>
                <w:highlight w:val="none"/>
              </w:rPr>
            </w:pPr>
            <w:r>
              <w:rPr>
                <w:rFonts w:hint="eastAsia" w:hAnsi="宋体" w:cs="宋体"/>
                <w:color w:val="auto"/>
                <w:szCs w:val="21"/>
                <w:highlight w:val="none"/>
              </w:rPr>
              <w:t>系统针对区间监测类指标如逐步升高类（高优）、逐步降低类（低优）自动产出趋势异常分析报表；</w:t>
            </w:r>
          </w:p>
          <w:p w14:paraId="588F8D96">
            <w:pPr>
              <w:widowControl/>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异常趋势包含逐步升高的指标，与上期对比有指标值降低，逐步降低的指标与上期对比有指标升高的指标展示。</w:t>
            </w:r>
          </w:p>
        </w:tc>
        <w:tc>
          <w:tcPr>
            <w:tcW w:w="1172" w:type="dxa"/>
            <w:noWrap w:val="0"/>
            <w:vAlign w:val="center"/>
          </w:tcPr>
          <w:p w14:paraId="3EA158DC">
            <w:pPr>
              <w:widowControl/>
              <w:jc w:val="left"/>
              <w:rPr>
                <w:rFonts w:hint="eastAsia" w:ascii="宋体" w:hAnsi="宋体" w:cs="宋体"/>
                <w:color w:val="auto"/>
                <w:szCs w:val="21"/>
                <w:highlight w:val="none"/>
              </w:rPr>
            </w:pPr>
          </w:p>
        </w:tc>
      </w:tr>
      <w:tr w14:paraId="0DEE7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noWrap w:val="0"/>
            <w:vAlign w:val="center"/>
          </w:tcPr>
          <w:p w14:paraId="23DD3477">
            <w:pP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781" w:type="dxa"/>
            <w:vMerge w:val="continue"/>
            <w:noWrap w:val="0"/>
            <w:vAlign w:val="center"/>
          </w:tcPr>
          <w:p w14:paraId="6EA29A43">
            <w:pPr>
              <w:rPr>
                <w:rFonts w:hint="eastAsia" w:ascii="宋体" w:hAnsi="宋体" w:cs="宋体"/>
                <w:color w:val="auto"/>
                <w:szCs w:val="21"/>
                <w:highlight w:val="none"/>
              </w:rPr>
            </w:pPr>
          </w:p>
        </w:tc>
        <w:tc>
          <w:tcPr>
            <w:tcW w:w="824" w:type="dxa"/>
            <w:gridSpan w:val="2"/>
            <w:noWrap w:val="0"/>
            <w:vAlign w:val="center"/>
          </w:tcPr>
          <w:p w14:paraId="01C994AD">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异常指标报表</w:t>
            </w:r>
          </w:p>
        </w:tc>
        <w:tc>
          <w:tcPr>
            <w:tcW w:w="5214" w:type="dxa"/>
            <w:noWrap w:val="0"/>
            <w:vAlign w:val="top"/>
          </w:tcPr>
          <w:p w14:paraId="2BF78D0A">
            <w:pPr>
              <w:pStyle w:val="24"/>
              <w:ind w:left="0" w:firstLine="0"/>
              <w:rPr>
                <w:rFonts w:hint="eastAsia" w:hAnsi="宋体" w:cs="宋体"/>
                <w:color w:val="auto"/>
                <w:szCs w:val="21"/>
                <w:highlight w:val="none"/>
              </w:rPr>
            </w:pPr>
            <w:r>
              <w:rPr>
                <w:rFonts w:hint="eastAsia" w:hAnsi="宋体" w:cs="宋体"/>
                <w:color w:val="auto"/>
                <w:szCs w:val="21"/>
                <w:highlight w:val="none"/>
              </w:rPr>
              <w:t>指标值与管理目标值不相符的指标报表，如床位数指标值500目标值为510则属于异常指标；</w:t>
            </w:r>
          </w:p>
          <w:p w14:paraId="5F6CA5FA">
            <w:pPr>
              <w:pStyle w:val="24"/>
              <w:ind w:left="0" w:firstLine="0"/>
              <w:rPr>
                <w:rFonts w:hint="eastAsia" w:hAnsi="宋体" w:cs="宋体"/>
                <w:color w:val="auto"/>
                <w:szCs w:val="21"/>
                <w:highlight w:val="none"/>
              </w:rPr>
            </w:pPr>
            <w:r>
              <w:rPr>
                <w:rFonts w:hint="eastAsia" w:hAnsi="宋体" w:cs="宋体"/>
                <w:color w:val="auto"/>
                <w:szCs w:val="21"/>
                <w:highlight w:val="none"/>
              </w:rPr>
              <w:t>支持展示逐步升高指标当期的指标值与低于目标值的数据。</w:t>
            </w:r>
          </w:p>
          <w:p w14:paraId="7649F9F9">
            <w:pPr>
              <w:widowControl/>
              <w:rPr>
                <w:rFonts w:hint="eastAsia" w:ascii="宋体" w:hAnsi="宋体" w:cs="宋体"/>
                <w:color w:val="auto"/>
                <w:szCs w:val="21"/>
                <w:highlight w:val="none"/>
              </w:rPr>
            </w:pPr>
            <w:r>
              <w:rPr>
                <w:rFonts w:hint="eastAsia" w:ascii="宋体" w:hAnsi="宋体" w:cs="宋体"/>
                <w:color w:val="auto"/>
                <w:szCs w:val="21"/>
                <w:highlight w:val="none"/>
              </w:rPr>
              <w:t>支持展示逐步降低指标当前的指标值高于目标值的数据。</w:t>
            </w:r>
          </w:p>
        </w:tc>
        <w:tc>
          <w:tcPr>
            <w:tcW w:w="1172" w:type="dxa"/>
            <w:noWrap w:val="0"/>
            <w:vAlign w:val="center"/>
          </w:tcPr>
          <w:p w14:paraId="1223EA17">
            <w:pPr>
              <w:widowControl/>
              <w:jc w:val="left"/>
              <w:rPr>
                <w:rFonts w:hint="eastAsia" w:ascii="宋体" w:hAnsi="宋体" w:cs="宋体"/>
                <w:color w:val="auto"/>
                <w:szCs w:val="21"/>
                <w:highlight w:val="none"/>
              </w:rPr>
            </w:pPr>
          </w:p>
        </w:tc>
      </w:tr>
      <w:tr w14:paraId="4FD3A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noWrap w:val="0"/>
            <w:vAlign w:val="center"/>
          </w:tcPr>
          <w:p w14:paraId="411C2FDC">
            <w:pP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w:t>
            </w:r>
          </w:p>
        </w:tc>
        <w:tc>
          <w:tcPr>
            <w:tcW w:w="781" w:type="dxa"/>
            <w:vMerge w:val="continue"/>
            <w:noWrap w:val="0"/>
            <w:vAlign w:val="center"/>
          </w:tcPr>
          <w:p w14:paraId="142D4B9E">
            <w:pPr>
              <w:rPr>
                <w:rFonts w:hint="eastAsia" w:ascii="宋体" w:hAnsi="宋体" w:cs="宋体"/>
                <w:color w:val="auto"/>
                <w:szCs w:val="21"/>
                <w:highlight w:val="none"/>
              </w:rPr>
            </w:pPr>
          </w:p>
        </w:tc>
        <w:tc>
          <w:tcPr>
            <w:tcW w:w="824" w:type="dxa"/>
            <w:gridSpan w:val="2"/>
            <w:noWrap w:val="0"/>
            <w:vAlign w:val="top"/>
          </w:tcPr>
          <w:p w14:paraId="10C859AA">
            <w:pPr>
              <w:rPr>
                <w:rFonts w:hint="eastAsia" w:ascii="宋体" w:hAnsi="宋体" w:cs="宋体"/>
                <w:color w:val="auto"/>
                <w:szCs w:val="21"/>
                <w:highlight w:val="none"/>
              </w:rPr>
            </w:pPr>
          </w:p>
          <w:p w14:paraId="0E693EA3">
            <w:pPr>
              <w:rPr>
                <w:rFonts w:hint="eastAsia" w:ascii="宋体" w:hAnsi="宋体" w:cs="宋体"/>
                <w:color w:val="auto"/>
                <w:szCs w:val="21"/>
                <w:highlight w:val="none"/>
              </w:rPr>
            </w:pPr>
          </w:p>
          <w:p w14:paraId="407EF05A">
            <w:pPr>
              <w:rPr>
                <w:rFonts w:hint="eastAsia" w:ascii="宋体" w:hAnsi="宋体" w:cs="宋体"/>
                <w:color w:val="auto"/>
                <w:szCs w:val="21"/>
                <w:highlight w:val="none"/>
              </w:rPr>
            </w:pPr>
          </w:p>
          <w:p w14:paraId="0662751C">
            <w:pPr>
              <w:rPr>
                <w:rFonts w:hint="eastAsia" w:ascii="宋体" w:hAnsi="宋体" w:cs="宋体"/>
                <w:color w:val="auto"/>
                <w:szCs w:val="21"/>
                <w:highlight w:val="none"/>
              </w:rPr>
            </w:pPr>
            <w:r>
              <w:rPr>
                <w:rFonts w:hint="eastAsia" w:ascii="宋体" w:hAnsi="宋体" w:cs="宋体"/>
                <w:color w:val="auto"/>
                <w:szCs w:val="21"/>
                <w:highlight w:val="none"/>
              </w:rPr>
              <w:t>数据自动预警</w:t>
            </w:r>
          </w:p>
        </w:tc>
        <w:tc>
          <w:tcPr>
            <w:tcW w:w="5214" w:type="dxa"/>
            <w:noWrap w:val="0"/>
            <w:vAlign w:val="top"/>
          </w:tcPr>
          <w:p w14:paraId="791F1A9E">
            <w:pPr>
              <w:widowControl/>
              <w:ind w:left="0" w:firstLine="0"/>
              <w:jc w:val="left"/>
              <w:textAlignment w:val="auto"/>
              <w:rPr>
                <w:rFonts w:hint="default" w:ascii="Times New Roman" w:hAnsi="Times New Roman" w:cs="Times New Roman"/>
                <w:color w:val="auto"/>
                <w:kern w:val="2"/>
                <w:szCs w:val="24"/>
                <w:highlight w:val="none"/>
                <w:lang w:bidi="ar"/>
              </w:rPr>
            </w:pPr>
            <w:r>
              <w:rPr>
                <w:rFonts w:hint="default" w:ascii="Times New Roman" w:hAnsi="Times New Roman" w:cs="Times New Roman"/>
                <w:color w:val="auto"/>
                <w:szCs w:val="24"/>
                <w:highlight w:val="none"/>
              </w:rPr>
              <w:t>系统能按规则进行自动指标预警。支持设置预警指标，配置预警规则。系统自动根据规则进行监测，预警页面展示科室的指标被预警情况。</w:t>
            </w:r>
          </w:p>
          <w:p w14:paraId="6C29CB81">
            <w:pPr>
              <w:widowControl/>
              <w:ind w:left="0" w:firstLine="0"/>
              <w:jc w:val="left"/>
              <w:textAlignment w:val="auto"/>
              <w:rPr>
                <w:rFonts w:hint="eastAsia" w:cs="Times New Roman"/>
                <w:color w:val="auto"/>
                <w:kern w:val="2"/>
                <w:szCs w:val="24"/>
                <w:highlight w:val="none"/>
                <w:lang w:eastAsia="zh-CN" w:bidi="ar"/>
              </w:rPr>
            </w:pPr>
            <w:r>
              <w:rPr>
                <w:rFonts w:hint="default" w:ascii="Times New Roman" w:hAnsi="Times New Roman" w:cs="Times New Roman"/>
                <w:color w:val="auto"/>
                <w:kern w:val="2"/>
                <w:szCs w:val="24"/>
                <w:highlight w:val="none"/>
                <w:lang w:bidi="ar"/>
              </w:rPr>
              <w:t>系统可将指标值、目标值与预警阈值进行对照，给出不同级别预警</w:t>
            </w:r>
            <w:r>
              <w:rPr>
                <w:rFonts w:hint="eastAsia" w:cs="Times New Roman"/>
                <w:color w:val="auto"/>
                <w:kern w:val="2"/>
                <w:szCs w:val="24"/>
                <w:highlight w:val="none"/>
                <w:lang w:eastAsia="zh-CN" w:bidi="ar"/>
              </w:rPr>
              <w:t>。</w:t>
            </w:r>
          </w:p>
          <w:p w14:paraId="22B03F42">
            <w:pPr>
              <w:widowControl/>
              <w:ind w:left="0" w:firstLine="0"/>
              <w:jc w:val="left"/>
              <w:textAlignment w:val="auto"/>
              <w:rPr>
                <w:rFonts w:hint="eastAsia" w:ascii="Times New Roman" w:hAnsi="Times New Roman" w:cs="Times New Roman"/>
                <w:color w:val="auto"/>
                <w:szCs w:val="24"/>
                <w:highlight w:val="none"/>
              </w:rPr>
            </w:pPr>
            <w:r>
              <w:rPr>
                <w:rFonts w:hint="default" w:ascii="Times New Roman" w:hAnsi="Times New Roman" w:cs="Times New Roman"/>
                <w:color w:val="auto"/>
                <w:kern w:val="2"/>
                <w:szCs w:val="24"/>
                <w:highlight w:val="none"/>
                <w:lang w:bidi="ar"/>
              </w:rPr>
              <w:t>支持各年、半年、季、月维度的指标结果值进行判断预警</w:t>
            </w:r>
            <w:r>
              <w:rPr>
                <w:rFonts w:hint="eastAsia" w:cs="Times New Roman"/>
                <w:color w:val="auto"/>
                <w:kern w:val="2"/>
                <w:szCs w:val="24"/>
                <w:highlight w:val="none"/>
                <w:lang w:eastAsia="zh-CN" w:bidi="ar"/>
              </w:rPr>
              <w:t>。</w:t>
            </w:r>
          </w:p>
          <w:p w14:paraId="357EAB3C">
            <w:pPr>
              <w:widowControl/>
              <w:ind w:left="0" w:firstLine="0"/>
              <w:jc w:val="left"/>
              <w:textAlignment w:val="auto"/>
              <w:rPr>
                <w:rFonts w:hint="eastAsia" w:cs="Times New Roman"/>
                <w:color w:val="auto"/>
                <w:kern w:val="2"/>
                <w:szCs w:val="24"/>
                <w:highlight w:val="none"/>
                <w:lang w:eastAsia="zh-CN" w:bidi="ar"/>
              </w:rPr>
            </w:pPr>
            <w:r>
              <w:rPr>
                <w:rFonts w:hint="default" w:ascii="Times New Roman" w:hAnsi="Times New Roman" w:cs="Times New Roman"/>
                <w:color w:val="auto"/>
                <w:szCs w:val="24"/>
                <w:highlight w:val="none"/>
              </w:rPr>
              <w:t>支持预警指标勾选，一键下发整改</w:t>
            </w:r>
            <w:r>
              <w:rPr>
                <w:rFonts w:hint="eastAsia" w:cs="Times New Roman"/>
                <w:color w:val="auto"/>
                <w:szCs w:val="24"/>
                <w:highlight w:val="none"/>
                <w:lang w:eastAsia="zh-CN"/>
              </w:rPr>
              <w:t>。</w:t>
            </w:r>
          </w:p>
        </w:tc>
        <w:tc>
          <w:tcPr>
            <w:tcW w:w="1172" w:type="dxa"/>
            <w:noWrap w:val="0"/>
            <w:vAlign w:val="top"/>
          </w:tcPr>
          <w:p w14:paraId="67666F57">
            <w:pPr>
              <w:jc w:val="left"/>
              <w:rPr>
                <w:rFonts w:hint="eastAsia" w:ascii="宋体" w:hAnsi="宋体" w:cs="宋体"/>
                <w:color w:val="auto"/>
                <w:szCs w:val="21"/>
                <w:highlight w:val="none"/>
              </w:rPr>
            </w:pPr>
          </w:p>
        </w:tc>
      </w:tr>
      <w:tr w14:paraId="6E87E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noWrap w:val="0"/>
            <w:vAlign w:val="center"/>
          </w:tcPr>
          <w:p w14:paraId="1FAB7C02">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31</w:t>
            </w:r>
          </w:p>
        </w:tc>
        <w:tc>
          <w:tcPr>
            <w:tcW w:w="781" w:type="dxa"/>
            <w:noWrap w:val="0"/>
            <w:vAlign w:val="center"/>
          </w:tcPr>
          <w:p w14:paraId="777F5E6F">
            <w:pPr>
              <w:widowControl/>
              <w:jc w:val="center"/>
              <w:rPr>
                <w:rFonts w:ascii="宋体" w:hAnsi="宋体" w:cs="宋体"/>
                <w:color w:val="auto"/>
                <w:szCs w:val="21"/>
                <w:highlight w:val="none"/>
              </w:rPr>
            </w:pPr>
            <w:r>
              <w:rPr>
                <w:rFonts w:hint="eastAsia" w:ascii="宋体" w:hAnsi="宋体" w:cs="宋体"/>
                <w:color w:val="auto"/>
                <w:szCs w:val="21"/>
                <w:highlight w:val="none"/>
              </w:rPr>
              <w:t>支撑材料设置</w:t>
            </w:r>
          </w:p>
        </w:tc>
        <w:tc>
          <w:tcPr>
            <w:tcW w:w="824" w:type="dxa"/>
            <w:gridSpan w:val="2"/>
            <w:noWrap w:val="0"/>
            <w:vAlign w:val="center"/>
          </w:tcPr>
          <w:p w14:paraId="67A3D522">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支撑材料引用</w:t>
            </w:r>
          </w:p>
        </w:tc>
        <w:tc>
          <w:tcPr>
            <w:tcW w:w="5214" w:type="dxa"/>
            <w:noWrap w:val="0"/>
            <w:vAlign w:val="center"/>
          </w:tcPr>
          <w:p w14:paraId="6B7D3C04">
            <w:pPr>
              <w:widowControl/>
              <w:jc w:val="left"/>
              <w:rPr>
                <w:rFonts w:hint="eastAsia" w:ascii="宋体" w:hAnsi="宋体" w:cs="宋体"/>
                <w:color w:val="auto"/>
                <w:kern w:val="0"/>
                <w:szCs w:val="21"/>
                <w:highlight w:val="none"/>
              </w:rPr>
            </w:pPr>
            <w:r>
              <w:rPr>
                <w:rFonts w:hint="eastAsia" w:ascii="宋体" w:hAnsi="宋体" w:cs="宋体"/>
                <w:color w:val="auto"/>
                <w:szCs w:val="21"/>
                <w:highlight w:val="none"/>
              </w:rPr>
              <w:t>要求能对单个指标按规则要求对分子分母</w:t>
            </w:r>
            <w:r>
              <w:rPr>
                <w:rFonts w:hint="eastAsia" w:ascii="宋体" w:hAnsi="宋体" w:cs="宋体"/>
                <w:color w:val="auto"/>
                <w:szCs w:val="21"/>
                <w:highlight w:val="none"/>
                <w:lang w:val="en-US" w:eastAsia="zh-CN"/>
              </w:rPr>
              <w:t>分别上传支撑材料</w:t>
            </w:r>
            <w:r>
              <w:rPr>
                <w:rFonts w:hint="eastAsia" w:ascii="宋体" w:hAnsi="宋体" w:cs="宋体"/>
                <w:color w:val="auto"/>
                <w:szCs w:val="21"/>
                <w:highlight w:val="none"/>
              </w:rPr>
              <w:t>，便于证明指标数据来源的可靠性、溯源性。</w:t>
            </w:r>
            <w:r>
              <w:rPr>
                <w:rFonts w:hint="eastAsia" w:ascii="宋体" w:hAnsi="宋体" w:cs="宋体"/>
                <w:color w:val="auto"/>
                <w:kern w:val="0"/>
                <w:szCs w:val="21"/>
                <w:highlight w:val="none"/>
              </w:rPr>
              <w:t>针对指标取数规则展示出具体的支撑材料，可以是文字描述或者附件。</w:t>
            </w:r>
          </w:p>
        </w:tc>
        <w:tc>
          <w:tcPr>
            <w:tcW w:w="1172" w:type="dxa"/>
            <w:noWrap w:val="0"/>
            <w:vAlign w:val="top"/>
          </w:tcPr>
          <w:p w14:paraId="76483DFD">
            <w:pPr>
              <w:jc w:val="left"/>
              <w:rPr>
                <w:rFonts w:hint="eastAsia" w:ascii="宋体" w:hAnsi="宋体" w:cs="宋体"/>
                <w:color w:val="auto"/>
                <w:szCs w:val="21"/>
                <w:highlight w:val="none"/>
              </w:rPr>
            </w:pPr>
          </w:p>
        </w:tc>
      </w:tr>
      <w:tr w14:paraId="47598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FA740FD">
            <w:pP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781" w:type="dxa"/>
            <w:vMerge w:val="restart"/>
            <w:noWrap w:val="0"/>
            <w:vAlign w:val="center"/>
          </w:tcPr>
          <w:p w14:paraId="262DFCFA">
            <w:pPr>
              <w:rPr>
                <w:rFonts w:hint="eastAsia" w:ascii="宋体" w:hAnsi="宋体" w:cs="宋体"/>
                <w:color w:val="auto"/>
                <w:szCs w:val="21"/>
                <w:highlight w:val="none"/>
              </w:rPr>
            </w:pPr>
            <w:r>
              <w:rPr>
                <w:rFonts w:hint="eastAsia" w:ascii="宋体" w:hAnsi="宋体" w:cs="宋体"/>
                <w:color w:val="auto"/>
                <w:szCs w:val="21"/>
                <w:highlight w:val="none"/>
              </w:rPr>
              <w:t>评审工作</w:t>
            </w:r>
          </w:p>
        </w:tc>
        <w:tc>
          <w:tcPr>
            <w:tcW w:w="824" w:type="dxa"/>
            <w:gridSpan w:val="2"/>
            <w:noWrap w:val="0"/>
            <w:vAlign w:val="center"/>
          </w:tcPr>
          <w:p w14:paraId="106FE6B9">
            <w:pPr>
              <w:widowControl/>
              <w:rPr>
                <w:rFonts w:hint="eastAsia" w:ascii="宋体" w:hAnsi="宋体" w:cs="宋体"/>
                <w:color w:val="auto"/>
                <w:szCs w:val="21"/>
                <w:highlight w:val="none"/>
              </w:rPr>
            </w:pPr>
            <w:r>
              <w:rPr>
                <w:rFonts w:hint="eastAsia" w:ascii="宋体" w:hAnsi="宋体" w:cs="宋体"/>
                <w:color w:val="auto"/>
                <w:szCs w:val="21"/>
                <w:highlight w:val="none"/>
              </w:rPr>
              <w:t>评审批次</w:t>
            </w:r>
          </w:p>
        </w:tc>
        <w:tc>
          <w:tcPr>
            <w:tcW w:w="5214" w:type="dxa"/>
            <w:noWrap w:val="0"/>
            <w:vAlign w:val="center"/>
          </w:tcPr>
          <w:p w14:paraId="522C45CA">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支持新建、删除、编辑、开启、关闭评审批次</w:t>
            </w:r>
          </w:p>
          <w:p w14:paraId="10AC9BD6">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支持多次循环全院自评</w:t>
            </w:r>
          </w:p>
          <w:p w14:paraId="5C51993F">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支持为评审批次设置起止时间</w:t>
            </w:r>
          </w:p>
          <w:p w14:paraId="2F249DB0">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支持沿用往期评审批次的评审结果、支撑材料</w:t>
            </w:r>
          </w:p>
        </w:tc>
        <w:tc>
          <w:tcPr>
            <w:tcW w:w="1172" w:type="dxa"/>
            <w:noWrap w:val="0"/>
            <w:vAlign w:val="top"/>
          </w:tcPr>
          <w:p w14:paraId="395CC8F0">
            <w:pPr>
              <w:jc w:val="left"/>
              <w:rPr>
                <w:rFonts w:hint="eastAsia" w:ascii="宋体" w:hAnsi="宋体" w:cs="宋体"/>
                <w:color w:val="auto"/>
                <w:szCs w:val="21"/>
                <w:highlight w:val="none"/>
              </w:rPr>
            </w:pPr>
          </w:p>
        </w:tc>
      </w:tr>
      <w:tr w14:paraId="4911B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29EFAFE">
            <w:pP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781" w:type="dxa"/>
            <w:vMerge w:val="continue"/>
            <w:noWrap w:val="0"/>
            <w:vAlign w:val="center"/>
          </w:tcPr>
          <w:p w14:paraId="70BF7489">
            <w:pPr>
              <w:rPr>
                <w:rFonts w:hint="eastAsia" w:ascii="宋体" w:hAnsi="宋体" w:cs="宋体"/>
                <w:color w:val="auto"/>
                <w:szCs w:val="21"/>
                <w:highlight w:val="none"/>
              </w:rPr>
            </w:pPr>
          </w:p>
        </w:tc>
        <w:tc>
          <w:tcPr>
            <w:tcW w:w="824" w:type="dxa"/>
            <w:gridSpan w:val="2"/>
            <w:noWrap w:val="0"/>
            <w:vAlign w:val="center"/>
          </w:tcPr>
          <w:p w14:paraId="74467155">
            <w:pPr>
              <w:widowControl/>
              <w:rPr>
                <w:rFonts w:hint="eastAsia" w:ascii="宋体" w:hAnsi="宋体" w:cs="宋体"/>
                <w:color w:val="auto"/>
                <w:szCs w:val="21"/>
                <w:highlight w:val="none"/>
              </w:rPr>
            </w:pPr>
            <w:r>
              <w:rPr>
                <w:rFonts w:hint="eastAsia" w:ascii="宋体" w:hAnsi="宋体" w:cs="宋体"/>
                <w:color w:val="auto"/>
                <w:szCs w:val="21"/>
                <w:highlight w:val="none"/>
              </w:rPr>
              <w:t>条款分配</w:t>
            </w:r>
          </w:p>
        </w:tc>
        <w:tc>
          <w:tcPr>
            <w:tcW w:w="5214" w:type="dxa"/>
            <w:noWrap w:val="0"/>
            <w:vAlign w:val="center"/>
          </w:tcPr>
          <w:p w14:paraId="1690699C">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支持按照评审身份分配/解除评审任务</w:t>
            </w:r>
          </w:p>
          <w:p w14:paraId="280E06C3">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支持批量分配/解除评审任务</w:t>
            </w:r>
          </w:p>
          <w:p w14:paraId="246A4403">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支持按照角色批量分配/解除评审任务</w:t>
            </w:r>
          </w:p>
          <w:p w14:paraId="7E1D4D6F">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支持按照部门批量分配/解除评审任务</w:t>
            </w:r>
          </w:p>
          <w:p w14:paraId="42F395AC">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支持按照名称分配/解除评审任务</w:t>
            </w:r>
          </w:p>
        </w:tc>
        <w:tc>
          <w:tcPr>
            <w:tcW w:w="1172" w:type="dxa"/>
            <w:noWrap w:val="0"/>
            <w:vAlign w:val="top"/>
          </w:tcPr>
          <w:p w14:paraId="397D87DE">
            <w:pPr>
              <w:jc w:val="left"/>
              <w:rPr>
                <w:rFonts w:hint="eastAsia" w:ascii="宋体" w:hAnsi="宋体" w:cs="宋体"/>
                <w:color w:val="auto"/>
                <w:szCs w:val="21"/>
                <w:highlight w:val="none"/>
              </w:rPr>
            </w:pPr>
          </w:p>
        </w:tc>
      </w:tr>
      <w:tr w14:paraId="008B2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1675BD0C">
            <w:pP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781" w:type="dxa"/>
            <w:vMerge w:val="continue"/>
            <w:noWrap w:val="0"/>
            <w:vAlign w:val="center"/>
          </w:tcPr>
          <w:p w14:paraId="2D8E1D57">
            <w:pPr>
              <w:rPr>
                <w:rFonts w:hint="eastAsia" w:ascii="宋体" w:hAnsi="宋体" w:cs="宋体"/>
                <w:color w:val="auto"/>
                <w:szCs w:val="21"/>
                <w:highlight w:val="none"/>
              </w:rPr>
            </w:pPr>
          </w:p>
        </w:tc>
        <w:tc>
          <w:tcPr>
            <w:tcW w:w="824" w:type="dxa"/>
            <w:gridSpan w:val="2"/>
            <w:noWrap w:val="0"/>
            <w:vAlign w:val="center"/>
          </w:tcPr>
          <w:p w14:paraId="34F931BF">
            <w:pPr>
              <w:widowControl/>
              <w:rPr>
                <w:rFonts w:hint="eastAsia" w:ascii="宋体" w:hAnsi="宋体" w:cs="宋体"/>
                <w:color w:val="auto"/>
                <w:szCs w:val="21"/>
                <w:highlight w:val="none"/>
              </w:rPr>
            </w:pPr>
            <w:r>
              <w:rPr>
                <w:rFonts w:hint="eastAsia" w:ascii="宋体" w:hAnsi="宋体" w:cs="宋体"/>
                <w:color w:val="auto"/>
                <w:szCs w:val="21"/>
                <w:highlight w:val="none"/>
              </w:rPr>
              <w:t>评审任务</w:t>
            </w:r>
          </w:p>
        </w:tc>
        <w:tc>
          <w:tcPr>
            <w:tcW w:w="5214" w:type="dxa"/>
            <w:noWrap w:val="0"/>
            <w:vAlign w:val="center"/>
          </w:tcPr>
          <w:p w14:paraId="21F0790B">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支持对要点进行评审打分</w:t>
            </w:r>
          </w:p>
          <w:p w14:paraId="78EC6C2B">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支持对要点进行支撑材料上传，可选择文档库中的材料进行上传</w:t>
            </w:r>
          </w:p>
          <w:p w14:paraId="4050B10F">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支持自评人员进行打分主管监管人员进行审核或打分</w:t>
            </w:r>
          </w:p>
          <w:p w14:paraId="5350594B">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支持自评人员上传的支持材料主管监管人员进行审核</w:t>
            </w:r>
          </w:p>
          <w:p w14:paraId="06C4A4B5">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支持自评人员评审要点或支持材料后，对负责的主管监管人员进行提示</w:t>
            </w:r>
          </w:p>
          <w:p w14:paraId="722485A3">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支持移交评审任务到同科室的</w:t>
            </w:r>
            <w:r>
              <w:rPr>
                <w:rFonts w:hint="eastAsia" w:ascii="宋体" w:hAnsi="宋体" w:cs="宋体"/>
                <w:color w:val="auto"/>
                <w:szCs w:val="21"/>
                <w:highlight w:val="none"/>
                <w:lang w:val="en-US" w:eastAsia="zh-CN"/>
              </w:rPr>
              <w:t>上下级</w:t>
            </w:r>
            <w:r>
              <w:rPr>
                <w:rFonts w:hint="eastAsia" w:ascii="宋体" w:hAnsi="宋体" w:cs="宋体"/>
                <w:color w:val="auto"/>
                <w:szCs w:val="21"/>
                <w:highlight w:val="none"/>
              </w:rPr>
              <w:t>用户</w:t>
            </w:r>
          </w:p>
        </w:tc>
        <w:tc>
          <w:tcPr>
            <w:tcW w:w="1172" w:type="dxa"/>
            <w:noWrap w:val="0"/>
            <w:vAlign w:val="top"/>
          </w:tcPr>
          <w:p w14:paraId="622FE5BA">
            <w:pPr>
              <w:jc w:val="left"/>
              <w:rPr>
                <w:rFonts w:hint="default" w:ascii="宋体" w:hAnsi="宋体" w:eastAsia="宋体" w:cs="宋体"/>
                <w:color w:val="auto"/>
                <w:szCs w:val="21"/>
                <w:highlight w:val="none"/>
                <w:lang w:val="en-US" w:eastAsia="zh-CN"/>
              </w:rPr>
            </w:pPr>
          </w:p>
        </w:tc>
      </w:tr>
      <w:tr w14:paraId="41B96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5F122E5D">
            <w:pP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35</w:t>
            </w:r>
          </w:p>
        </w:tc>
        <w:tc>
          <w:tcPr>
            <w:tcW w:w="781" w:type="dxa"/>
            <w:vMerge w:val="continue"/>
            <w:noWrap w:val="0"/>
            <w:vAlign w:val="center"/>
          </w:tcPr>
          <w:p w14:paraId="6766101E">
            <w:pPr>
              <w:rPr>
                <w:rFonts w:hint="eastAsia" w:ascii="宋体" w:hAnsi="宋体" w:cs="宋体"/>
                <w:color w:val="auto"/>
                <w:szCs w:val="21"/>
                <w:highlight w:val="none"/>
              </w:rPr>
            </w:pPr>
          </w:p>
        </w:tc>
        <w:tc>
          <w:tcPr>
            <w:tcW w:w="824" w:type="dxa"/>
            <w:gridSpan w:val="2"/>
            <w:noWrap w:val="0"/>
            <w:vAlign w:val="center"/>
          </w:tcPr>
          <w:p w14:paraId="7B823E41">
            <w:pPr>
              <w:widowControl/>
              <w:rPr>
                <w:rFonts w:hint="eastAsia" w:ascii="宋体" w:hAnsi="宋体" w:cs="宋体"/>
                <w:color w:val="auto"/>
                <w:szCs w:val="21"/>
                <w:highlight w:val="none"/>
              </w:rPr>
            </w:pPr>
            <w:r>
              <w:rPr>
                <w:rFonts w:hint="eastAsia" w:ascii="宋体" w:hAnsi="宋体" w:cs="宋体"/>
                <w:color w:val="auto"/>
                <w:szCs w:val="21"/>
                <w:highlight w:val="none"/>
              </w:rPr>
              <w:t>评审结果</w:t>
            </w:r>
          </w:p>
        </w:tc>
        <w:tc>
          <w:tcPr>
            <w:tcW w:w="5214" w:type="dxa"/>
            <w:noWrap w:val="0"/>
            <w:vAlign w:val="center"/>
          </w:tcPr>
          <w:p w14:paraId="09C497EC">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当前批次按照条款顺序评审结果综合汇总</w:t>
            </w:r>
          </w:p>
          <w:p w14:paraId="233AAD72">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自动计算出评审结果的和值总分</w:t>
            </w:r>
          </w:p>
          <w:p w14:paraId="54036161">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支持自定义导出评审结果列表</w:t>
            </w:r>
          </w:p>
        </w:tc>
        <w:tc>
          <w:tcPr>
            <w:tcW w:w="1172" w:type="dxa"/>
            <w:noWrap w:val="0"/>
            <w:vAlign w:val="top"/>
          </w:tcPr>
          <w:p w14:paraId="5D5F87BF">
            <w:pPr>
              <w:jc w:val="left"/>
              <w:rPr>
                <w:rFonts w:hint="eastAsia" w:ascii="宋体" w:hAnsi="宋体" w:cs="宋体"/>
                <w:color w:val="auto"/>
                <w:szCs w:val="21"/>
                <w:highlight w:val="none"/>
              </w:rPr>
            </w:pPr>
          </w:p>
        </w:tc>
      </w:tr>
      <w:tr w14:paraId="2EF7A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5FC81F4A">
            <w:pP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36</w:t>
            </w:r>
          </w:p>
        </w:tc>
        <w:tc>
          <w:tcPr>
            <w:tcW w:w="781" w:type="dxa"/>
            <w:vMerge w:val="continue"/>
            <w:noWrap w:val="0"/>
            <w:vAlign w:val="center"/>
          </w:tcPr>
          <w:p w14:paraId="6724D818">
            <w:pPr>
              <w:rPr>
                <w:rFonts w:hint="eastAsia" w:ascii="宋体" w:hAnsi="宋体" w:cs="宋体"/>
                <w:color w:val="auto"/>
                <w:szCs w:val="21"/>
                <w:highlight w:val="none"/>
              </w:rPr>
            </w:pPr>
          </w:p>
        </w:tc>
        <w:tc>
          <w:tcPr>
            <w:tcW w:w="824" w:type="dxa"/>
            <w:gridSpan w:val="2"/>
            <w:noWrap w:val="0"/>
            <w:vAlign w:val="center"/>
          </w:tcPr>
          <w:p w14:paraId="159A1B69">
            <w:pPr>
              <w:widowControl/>
              <w:rPr>
                <w:rFonts w:hint="eastAsia" w:ascii="宋体" w:hAnsi="宋体" w:cs="宋体"/>
                <w:color w:val="auto"/>
                <w:szCs w:val="21"/>
                <w:highlight w:val="none"/>
              </w:rPr>
            </w:pPr>
            <w:r>
              <w:rPr>
                <w:rFonts w:hint="eastAsia" w:ascii="宋体" w:hAnsi="宋体" w:cs="宋体"/>
                <w:color w:val="auto"/>
                <w:szCs w:val="21"/>
                <w:highlight w:val="none"/>
              </w:rPr>
              <w:t>认定结论</w:t>
            </w:r>
          </w:p>
        </w:tc>
        <w:tc>
          <w:tcPr>
            <w:tcW w:w="5214" w:type="dxa"/>
            <w:noWrap w:val="0"/>
            <w:vAlign w:val="center"/>
          </w:tcPr>
          <w:p w14:paraId="5F2DFE78">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支持管理人员可以对所有条款要点给定一个最终结果</w:t>
            </w:r>
          </w:p>
          <w:p w14:paraId="40EEDE45">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分别计算出评审结果的总分以及计算出认定结论赋值后最终结果</w:t>
            </w:r>
          </w:p>
        </w:tc>
        <w:tc>
          <w:tcPr>
            <w:tcW w:w="1172" w:type="dxa"/>
            <w:noWrap w:val="0"/>
            <w:vAlign w:val="top"/>
          </w:tcPr>
          <w:p w14:paraId="53B7BA95">
            <w:pPr>
              <w:jc w:val="left"/>
              <w:rPr>
                <w:rFonts w:hint="eastAsia" w:ascii="宋体" w:hAnsi="宋体" w:cs="宋体"/>
                <w:color w:val="auto"/>
                <w:szCs w:val="21"/>
                <w:highlight w:val="none"/>
              </w:rPr>
            </w:pPr>
          </w:p>
        </w:tc>
      </w:tr>
      <w:tr w14:paraId="4CEB9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4EDAC52">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37</w:t>
            </w:r>
          </w:p>
        </w:tc>
        <w:tc>
          <w:tcPr>
            <w:tcW w:w="781" w:type="dxa"/>
            <w:vMerge w:val="restart"/>
            <w:noWrap w:val="0"/>
            <w:vAlign w:val="center"/>
          </w:tcPr>
          <w:p w14:paraId="35E16CDF">
            <w:pPr>
              <w:rPr>
                <w:rFonts w:hint="eastAsia" w:ascii="宋体" w:hAnsi="宋体" w:cs="宋体"/>
                <w:color w:val="auto"/>
                <w:szCs w:val="21"/>
                <w:highlight w:val="none"/>
              </w:rPr>
            </w:pPr>
            <w:r>
              <w:rPr>
                <w:rFonts w:hint="eastAsia" w:ascii="宋体" w:hAnsi="宋体" w:cs="宋体"/>
                <w:color w:val="auto"/>
                <w:szCs w:val="21"/>
                <w:highlight w:val="none"/>
              </w:rPr>
              <w:t>专家组评审</w:t>
            </w:r>
          </w:p>
        </w:tc>
        <w:tc>
          <w:tcPr>
            <w:tcW w:w="824" w:type="dxa"/>
            <w:gridSpan w:val="2"/>
            <w:noWrap w:val="0"/>
            <w:vAlign w:val="center"/>
          </w:tcPr>
          <w:p w14:paraId="5402C061">
            <w:pPr>
              <w:widowControl/>
              <w:rPr>
                <w:rFonts w:hint="eastAsia" w:ascii="宋体" w:hAnsi="宋体" w:cs="宋体"/>
                <w:color w:val="auto"/>
                <w:szCs w:val="21"/>
                <w:highlight w:val="none"/>
              </w:rPr>
            </w:pPr>
            <w:r>
              <w:rPr>
                <w:rFonts w:hint="eastAsia" w:ascii="宋体" w:hAnsi="宋体" w:cs="宋体"/>
                <w:color w:val="auto"/>
                <w:szCs w:val="21"/>
                <w:highlight w:val="none"/>
              </w:rPr>
              <w:t>条款分组</w:t>
            </w:r>
          </w:p>
        </w:tc>
        <w:tc>
          <w:tcPr>
            <w:tcW w:w="5214" w:type="dxa"/>
            <w:noWrap w:val="0"/>
            <w:vAlign w:val="center"/>
          </w:tcPr>
          <w:p w14:paraId="41993F72">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专家组评审工作初始需要对条款分组到各个专家组</w:t>
            </w:r>
          </w:p>
          <w:p w14:paraId="45C4E09C">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支持通过条款关键字进行查询条款</w:t>
            </w:r>
          </w:p>
          <w:p w14:paraId="0A223D6B">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支持通过专家组筛选查看已分组的条款项</w:t>
            </w:r>
          </w:p>
        </w:tc>
        <w:tc>
          <w:tcPr>
            <w:tcW w:w="1172" w:type="dxa"/>
            <w:noWrap w:val="0"/>
            <w:vAlign w:val="top"/>
          </w:tcPr>
          <w:p w14:paraId="2D4D694A">
            <w:pPr>
              <w:jc w:val="left"/>
              <w:rPr>
                <w:rFonts w:hint="eastAsia" w:ascii="宋体" w:hAnsi="宋体" w:cs="宋体"/>
                <w:color w:val="auto"/>
                <w:szCs w:val="21"/>
                <w:highlight w:val="none"/>
              </w:rPr>
            </w:pPr>
          </w:p>
        </w:tc>
      </w:tr>
      <w:tr w14:paraId="45E56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noWrap w:val="0"/>
            <w:vAlign w:val="center"/>
          </w:tcPr>
          <w:p w14:paraId="346B2CD4">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38</w:t>
            </w:r>
          </w:p>
        </w:tc>
        <w:tc>
          <w:tcPr>
            <w:tcW w:w="781" w:type="dxa"/>
            <w:vMerge w:val="continue"/>
            <w:noWrap w:val="0"/>
            <w:vAlign w:val="center"/>
          </w:tcPr>
          <w:p w14:paraId="3C505810">
            <w:pPr>
              <w:rPr>
                <w:rFonts w:hint="eastAsia" w:ascii="宋体" w:hAnsi="宋体" w:cs="宋体"/>
                <w:color w:val="auto"/>
                <w:szCs w:val="21"/>
                <w:highlight w:val="none"/>
              </w:rPr>
            </w:pPr>
          </w:p>
        </w:tc>
        <w:tc>
          <w:tcPr>
            <w:tcW w:w="824" w:type="dxa"/>
            <w:gridSpan w:val="2"/>
            <w:noWrap w:val="0"/>
            <w:vAlign w:val="center"/>
          </w:tcPr>
          <w:p w14:paraId="38AEFBF9">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专家分组</w:t>
            </w:r>
          </w:p>
        </w:tc>
        <w:tc>
          <w:tcPr>
            <w:tcW w:w="5214" w:type="dxa"/>
            <w:noWrap w:val="0"/>
            <w:vAlign w:val="center"/>
          </w:tcPr>
          <w:p w14:paraId="2CB4A857">
            <w:pPr>
              <w:pStyle w:val="21"/>
              <w:spacing w:line="276"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选择专家成员进入专家组开展专家组评审工作</w:t>
            </w:r>
          </w:p>
        </w:tc>
        <w:tc>
          <w:tcPr>
            <w:tcW w:w="1172" w:type="dxa"/>
            <w:vMerge w:val="restart"/>
            <w:noWrap w:val="0"/>
            <w:vAlign w:val="top"/>
          </w:tcPr>
          <w:p w14:paraId="73197809">
            <w:pPr>
              <w:jc w:val="left"/>
              <w:rPr>
                <w:rFonts w:hint="default" w:ascii="宋体" w:hAnsi="宋体" w:cs="宋体"/>
                <w:color w:val="auto"/>
                <w:szCs w:val="21"/>
                <w:highlight w:val="none"/>
                <w:lang w:val="en-US"/>
              </w:rPr>
            </w:pPr>
          </w:p>
        </w:tc>
      </w:tr>
      <w:tr w14:paraId="3472D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1310BBC4">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39</w:t>
            </w:r>
          </w:p>
        </w:tc>
        <w:tc>
          <w:tcPr>
            <w:tcW w:w="781" w:type="dxa"/>
            <w:vMerge w:val="continue"/>
            <w:noWrap w:val="0"/>
            <w:vAlign w:val="center"/>
          </w:tcPr>
          <w:p w14:paraId="525A61B7">
            <w:pPr>
              <w:rPr>
                <w:rFonts w:hint="eastAsia" w:ascii="宋体" w:hAnsi="宋体" w:cs="宋体"/>
                <w:color w:val="auto"/>
                <w:szCs w:val="21"/>
                <w:highlight w:val="none"/>
              </w:rPr>
            </w:pPr>
          </w:p>
        </w:tc>
        <w:tc>
          <w:tcPr>
            <w:tcW w:w="824" w:type="dxa"/>
            <w:gridSpan w:val="2"/>
            <w:noWrap w:val="0"/>
            <w:vAlign w:val="center"/>
          </w:tcPr>
          <w:p w14:paraId="6CAA9713">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现场检查</w:t>
            </w:r>
          </w:p>
        </w:tc>
        <w:tc>
          <w:tcPr>
            <w:tcW w:w="5214" w:type="dxa"/>
            <w:noWrap w:val="0"/>
            <w:vAlign w:val="center"/>
          </w:tcPr>
          <w:p w14:paraId="3F2DCE20">
            <w:pPr>
              <w:pStyle w:val="21"/>
              <w:spacing w:line="276"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支持添加多条检查记录</w:t>
            </w:r>
          </w:p>
        </w:tc>
        <w:tc>
          <w:tcPr>
            <w:tcW w:w="1172" w:type="dxa"/>
            <w:vMerge w:val="continue"/>
            <w:noWrap w:val="0"/>
            <w:vAlign w:val="top"/>
          </w:tcPr>
          <w:p w14:paraId="3FFF4131">
            <w:pPr>
              <w:jc w:val="left"/>
              <w:rPr>
                <w:rFonts w:hint="eastAsia" w:ascii="宋体" w:hAnsi="宋体" w:cs="宋体"/>
                <w:color w:val="auto"/>
                <w:szCs w:val="21"/>
                <w:highlight w:val="none"/>
              </w:rPr>
            </w:pPr>
          </w:p>
        </w:tc>
      </w:tr>
      <w:tr w14:paraId="7F3A6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73D2BC2E">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w:t>
            </w:r>
          </w:p>
        </w:tc>
        <w:tc>
          <w:tcPr>
            <w:tcW w:w="781" w:type="dxa"/>
            <w:vMerge w:val="continue"/>
            <w:noWrap w:val="0"/>
            <w:vAlign w:val="center"/>
          </w:tcPr>
          <w:p w14:paraId="50FF53F2">
            <w:pPr>
              <w:rPr>
                <w:rFonts w:hint="eastAsia" w:ascii="宋体" w:hAnsi="宋体" w:cs="宋体"/>
                <w:color w:val="auto"/>
                <w:szCs w:val="21"/>
                <w:highlight w:val="none"/>
              </w:rPr>
            </w:pPr>
          </w:p>
        </w:tc>
        <w:tc>
          <w:tcPr>
            <w:tcW w:w="824" w:type="dxa"/>
            <w:gridSpan w:val="2"/>
            <w:noWrap w:val="0"/>
            <w:vAlign w:val="center"/>
          </w:tcPr>
          <w:p w14:paraId="6CC39DC9">
            <w:pPr>
              <w:widowControl/>
              <w:rPr>
                <w:rFonts w:hint="eastAsia" w:ascii="宋体" w:hAnsi="宋体" w:cs="宋体"/>
                <w:color w:val="auto"/>
                <w:szCs w:val="21"/>
                <w:highlight w:val="none"/>
              </w:rPr>
            </w:pPr>
            <w:r>
              <w:rPr>
                <w:rFonts w:hint="eastAsia" w:ascii="宋体" w:hAnsi="宋体" w:cs="宋体"/>
                <w:color w:val="auto"/>
                <w:szCs w:val="21"/>
                <w:highlight w:val="none"/>
              </w:rPr>
              <w:t>整改复查</w:t>
            </w:r>
          </w:p>
        </w:tc>
        <w:tc>
          <w:tcPr>
            <w:tcW w:w="5214" w:type="dxa"/>
            <w:noWrap w:val="0"/>
            <w:vAlign w:val="center"/>
          </w:tcPr>
          <w:p w14:paraId="637A2A13">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对需要复查的科室进行数据统计包好了检查记录的要点数量，整改反馈过的数量，已经复查过的数量及进度</w:t>
            </w:r>
          </w:p>
          <w:p w14:paraId="651A25E0">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支持评审后的计划进行问题复查，继续记录问题或复查通过</w:t>
            </w:r>
          </w:p>
          <w:p w14:paraId="6E47B6BD">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支持导出复查的条款要点列表</w:t>
            </w:r>
          </w:p>
        </w:tc>
        <w:tc>
          <w:tcPr>
            <w:tcW w:w="1172" w:type="dxa"/>
            <w:vMerge w:val="continue"/>
            <w:noWrap w:val="0"/>
            <w:vAlign w:val="top"/>
          </w:tcPr>
          <w:p w14:paraId="7B7D1B94">
            <w:pPr>
              <w:jc w:val="left"/>
              <w:rPr>
                <w:rFonts w:hint="eastAsia" w:ascii="宋体" w:hAnsi="宋体" w:cs="宋体"/>
                <w:color w:val="auto"/>
                <w:szCs w:val="21"/>
                <w:highlight w:val="none"/>
              </w:rPr>
            </w:pPr>
          </w:p>
        </w:tc>
      </w:tr>
      <w:tr w14:paraId="22B84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6B6793EA">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41</w:t>
            </w:r>
          </w:p>
        </w:tc>
        <w:tc>
          <w:tcPr>
            <w:tcW w:w="781" w:type="dxa"/>
            <w:vMerge w:val="continue"/>
            <w:noWrap w:val="0"/>
            <w:vAlign w:val="center"/>
          </w:tcPr>
          <w:p w14:paraId="363E4CA7">
            <w:pPr>
              <w:rPr>
                <w:rFonts w:hint="eastAsia" w:ascii="宋体" w:hAnsi="宋体" w:cs="宋体"/>
                <w:color w:val="auto"/>
                <w:szCs w:val="21"/>
                <w:highlight w:val="none"/>
              </w:rPr>
            </w:pPr>
          </w:p>
        </w:tc>
        <w:tc>
          <w:tcPr>
            <w:tcW w:w="824" w:type="dxa"/>
            <w:gridSpan w:val="2"/>
            <w:noWrap w:val="0"/>
            <w:vAlign w:val="center"/>
          </w:tcPr>
          <w:p w14:paraId="7F11F84C">
            <w:pPr>
              <w:widowControl/>
              <w:jc w:val="left"/>
              <w:rPr>
                <w:rFonts w:hint="eastAsia" w:ascii="宋体" w:hAnsi="宋体" w:cs="宋体"/>
                <w:color w:val="auto"/>
                <w:szCs w:val="21"/>
                <w:highlight w:val="none"/>
              </w:rPr>
            </w:pPr>
            <w:r>
              <w:rPr>
                <w:rFonts w:hint="eastAsia" w:ascii="宋体" w:hAnsi="宋体" w:cs="宋体"/>
                <w:color w:val="auto"/>
                <w:szCs w:val="21"/>
                <w:highlight w:val="none"/>
              </w:rPr>
              <w:t>科室检记查录</w:t>
            </w:r>
          </w:p>
        </w:tc>
        <w:tc>
          <w:tcPr>
            <w:tcW w:w="5214" w:type="dxa"/>
            <w:noWrap w:val="0"/>
            <w:vAlign w:val="center"/>
          </w:tcPr>
          <w:p w14:paraId="231ED679">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科室在当前计划中被专家组提出检查记录列表</w:t>
            </w:r>
          </w:p>
          <w:p w14:paraId="36AD6DDB">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科室可进行整改，并把整改措施进行反馈</w:t>
            </w:r>
          </w:p>
          <w:p w14:paraId="329E7E68">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支持导出图表数据</w:t>
            </w:r>
          </w:p>
        </w:tc>
        <w:tc>
          <w:tcPr>
            <w:tcW w:w="1172" w:type="dxa"/>
            <w:vMerge w:val="continue"/>
            <w:noWrap w:val="0"/>
            <w:vAlign w:val="top"/>
          </w:tcPr>
          <w:p w14:paraId="35643FB9">
            <w:pPr>
              <w:jc w:val="left"/>
              <w:rPr>
                <w:rFonts w:hint="eastAsia" w:ascii="宋体" w:hAnsi="宋体" w:cs="宋体"/>
                <w:color w:val="auto"/>
                <w:szCs w:val="21"/>
                <w:highlight w:val="none"/>
              </w:rPr>
            </w:pPr>
          </w:p>
        </w:tc>
      </w:tr>
      <w:tr w14:paraId="3DF75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4BBE41B0">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42</w:t>
            </w:r>
          </w:p>
        </w:tc>
        <w:tc>
          <w:tcPr>
            <w:tcW w:w="781" w:type="dxa"/>
            <w:vMerge w:val="continue"/>
            <w:noWrap w:val="0"/>
            <w:vAlign w:val="center"/>
          </w:tcPr>
          <w:p w14:paraId="2C4B2B7E">
            <w:pPr>
              <w:rPr>
                <w:rFonts w:hint="eastAsia" w:ascii="宋体" w:hAnsi="宋体" w:cs="宋体"/>
                <w:color w:val="auto"/>
                <w:szCs w:val="21"/>
                <w:highlight w:val="none"/>
              </w:rPr>
            </w:pPr>
          </w:p>
        </w:tc>
        <w:tc>
          <w:tcPr>
            <w:tcW w:w="824" w:type="dxa"/>
            <w:gridSpan w:val="2"/>
            <w:noWrap w:val="0"/>
            <w:vAlign w:val="center"/>
          </w:tcPr>
          <w:p w14:paraId="6269DCE9">
            <w:pPr>
              <w:widowControl/>
              <w:rPr>
                <w:rFonts w:hint="eastAsia" w:ascii="宋体" w:hAnsi="宋体" w:cs="宋体"/>
                <w:color w:val="auto"/>
                <w:szCs w:val="21"/>
                <w:highlight w:val="none"/>
              </w:rPr>
            </w:pPr>
            <w:r>
              <w:rPr>
                <w:rFonts w:hint="eastAsia" w:ascii="宋体" w:hAnsi="宋体" w:cs="宋体"/>
                <w:color w:val="auto"/>
                <w:szCs w:val="21"/>
                <w:highlight w:val="none"/>
              </w:rPr>
              <w:t>检查记录总览</w:t>
            </w:r>
          </w:p>
        </w:tc>
        <w:tc>
          <w:tcPr>
            <w:tcW w:w="5214" w:type="dxa"/>
            <w:noWrap w:val="0"/>
            <w:vAlign w:val="center"/>
          </w:tcPr>
          <w:p w14:paraId="53B64FBF">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统计在当前评审计划中专家组所有提交检查记录的要点，可进行统一查看分析</w:t>
            </w:r>
          </w:p>
          <w:p w14:paraId="6F5C0454">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支持导出图表数据</w:t>
            </w:r>
          </w:p>
        </w:tc>
        <w:tc>
          <w:tcPr>
            <w:tcW w:w="1172" w:type="dxa"/>
            <w:vMerge w:val="continue"/>
            <w:noWrap w:val="0"/>
            <w:vAlign w:val="top"/>
          </w:tcPr>
          <w:p w14:paraId="786DF9EF">
            <w:pPr>
              <w:jc w:val="left"/>
              <w:rPr>
                <w:rFonts w:hint="eastAsia" w:ascii="宋体" w:hAnsi="宋体" w:cs="宋体"/>
                <w:color w:val="auto"/>
                <w:szCs w:val="21"/>
                <w:highlight w:val="none"/>
              </w:rPr>
            </w:pPr>
          </w:p>
        </w:tc>
      </w:tr>
      <w:tr w14:paraId="75D49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6D67057">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w:t>
            </w:r>
          </w:p>
        </w:tc>
        <w:tc>
          <w:tcPr>
            <w:tcW w:w="781" w:type="dxa"/>
            <w:vMerge w:val="continue"/>
            <w:noWrap w:val="0"/>
            <w:vAlign w:val="center"/>
          </w:tcPr>
          <w:p w14:paraId="17544C4B">
            <w:pPr>
              <w:rPr>
                <w:rFonts w:hint="eastAsia" w:ascii="宋体" w:hAnsi="宋体" w:cs="宋体"/>
                <w:color w:val="auto"/>
                <w:szCs w:val="21"/>
                <w:highlight w:val="none"/>
              </w:rPr>
            </w:pPr>
          </w:p>
        </w:tc>
        <w:tc>
          <w:tcPr>
            <w:tcW w:w="824" w:type="dxa"/>
            <w:gridSpan w:val="2"/>
            <w:noWrap w:val="0"/>
            <w:vAlign w:val="center"/>
          </w:tcPr>
          <w:p w14:paraId="727753C9">
            <w:pPr>
              <w:widowControl/>
              <w:rPr>
                <w:rFonts w:hint="eastAsia" w:ascii="宋体" w:hAnsi="宋体" w:cs="宋体"/>
                <w:color w:val="auto"/>
                <w:szCs w:val="21"/>
                <w:highlight w:val="none"/>
              </w:rPr>
            </w:pPr>
            <w:r>
              <w:rPr>
                <w:rFonts w:hint="eastAsia" w:ascii="宋体" w:hAnsi="宋体" w:cs="宋体"/>
                <w:color w:val="auto"/>
                <w:szCs w:val="21"/>
                <w:highlight w:val="none"/>
              </w:rPr>
              <w:t>专家组评审结果</w:t>
            </w:r>
          </w:p>
        </w:tc>
        <w:tc>
          <w:tcPr>
            <w:tcW w:w="5214" w:type="dxa"/>
            <w:noWrap w:val="0"/>
            <w:vAlign w:val="center"/>
          </w:tcPr>
          <w:p w14:paraId="7DC6A377">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默认为当前计划按照条款列表汇总专家组评审结果</w:t>
            </w:r>
          </w:p>
          <w:p w14:paraId="3D1DF050">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自动计算出专家组评审结果的和值总分</w:t>
            </w:r>
          </w:p>
          <w:p w14:paraId="5F0C0AD2">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支持导出图表数据</w:t>
            </w:r>
          </w:p>
        </w:tc>
        <w:tc>
          <w:tcPr>
            <w:tcW w:w="1172" w:type="dxa"/>
            <w:vMerge w:val="continue"/>
            <w:noWrap w:val="0"/>
            <w:vAlign w:val="top"/>
          </w:tcPr>
          <w:p w14:paraId="6E5024D4">
            <w:pPr>
              <w:jc w:val="left"/>
              <w:rPr>
                <w:rFonts w:hint="eastAsia" w:ascii="宋体" w:hAnsi="宋体" w:cs="宋体"/>
                <w:color w:val="auto"/>
                <w:szCs w:val="21"/>
                <w:highlight w:val="none"/>
              </w:rPr>
            </w:pPr>
          </w:p>
        </w:tc>
      </w:tr>
      <w:tr w14:paraId="1891E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trPr>
        <w:tc>
          <w:tcPr>
            <w:tcW w:w="531" w:type="dxa"/>
            <w:noWrap w:val="0"/>
            <w:vAlign w:val="center"/>
          </w:tcPr>
          <w:p w14:paraId="1094891B">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44</w:t>
            </w:r>
          </w:p>
        </w:tc>
        <w:tc>
          <w:tcPr>
            <w:tcW w:w="781" w:type="dxa"/>
            <w:vMerge w:val="continue"/>
            <w:noWrap w:val="0"/>
            <w:vAlign w:val="center"/>
          </w:tcPr>
          <w:p w14:paraId="5B5F3424">
            <w:pPr>
              <w:rPr>
                <w:rFonts w:hint="eastAsia" w:ascii="宋体" w:hAnsi="宋体" w:cs="宋体"/>
                <w:color w:val="auto"/>
                <w:szCs w:val="21"/>
                <w:highlight w:val="none"/>
              </w:rPr>
            </w:pPr>
          </w:p>
        </w:tc>
        <w:tc>
          <w:tcPr>
            <w:tcW w:w="824" w:type="dxa"/>
            <w:gridSpan w:val="2"/>
            <w:noWrap w:val="0"/>
            <w:vAlign w:val="center"/>
          </w:tcPr>
          <w:p w14:paraId="700231C1">
            <w:pPr>
              <w:widowControl/>
              <w:rPr>
                <w:rFonts w:hint="eastAsia" w:ascii="宋体" w:hAnsi="宋体" w:cs="宋体"/>
                <w:color w:val="auto"/>
                <w:szCs w:val="21"/>
                <w:highlight w:val="none"/>
              </w:rPr>
            </w:pPr>
            <w:r>
              <w:rPr>
                <w:rFonts w:hint="eastAsia" w:ascii="宋体" w:hAnsi="宋体" w:cs="宋体"/>
                <w:color w:val="auto"/>
                <w:szCs w:val="21"/>
                <w:highlight w:val="none"/>
              </w:rPr>
              <w:t>专家组评审统计</w:t>
            </w:r>
          </w:p>
        </w:tc>
        <w:tc>
          <w:tcPr>
            <w:tcW w:w="5214" w:type="dxa"/>
            <w:noWrap w:val="0"/>
            <w:vAlign w:val="center"/>
          </w:tcPr>
          <w:p w14:paraId="6571A160">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默认统计当前计划的各项数据统计</w:t>
            </w:r>
          </w:p>
          <w:p w14:paraId="17FC6D39">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查看各专家组条款评审进度</w:t>
            </w:r>
          </w:p>
          <w:p w14:paraId="3A873590">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查看各专家检查组最终成绩</w:t>
            </w:r>
          </w:p>
          <w:p w14:paraId="238BD5D2">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支持导出图表数据</w:t>
            </w:r>
          </w:p>
        </w:tc>
        <w:tc>
          <w:tcPr>
            <w:tcW w:w="1172" w:type="dxa"/>
            <w:vMerge w:val="continue"/>
            <w:noWrap w:val="0"/>
            <w:vAlign w:val="top"/>
          </w:tcPr>
          <w:p w14:paraId="7405F1DD">
            <w:pPr>
              <w:jc w:val="left"/>
              <w:rPr>
                <w:rFonts w:hint="eastAsia" w:ascii="宋体" w:hAnsi="宋体" w:cs="宋体"/>
                <w:color w:val="auto"/>
                <w:szCs w:val="21"/>
                <w:highlight w:val="none"/>
              </w:rPr>
            </w:pPr>
          </w:p>
        </w:tc>
      </w:tr>
      <w:tr w14:paraId="344A6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669E1D47">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45</w:t>
            </w:r>
          </w:p>
        </w:tc>
        <w:tc>
          <w:tcPr>
            <w:tcW w:w="781" w:type="dxa"/>
            <w:noWrap w:val="0"/>
            <w:vAlign w:val="center"/>
          </w:tcPr>
          <w:p w14:paraId="0DD482FE">
            <w:pPr>
              <w:rPr>
                <w:rFonts w:hint="eastAsia" w:ascii="宋体" w:hAnsi="宋体" w:cs="宋体"/>
                <w:color w:val="auto"/>
                <w:szCs w:val="21"/>
                <w:highlight w:val="none"/>
              </w:rPr>
            </w:pPr>
            <w:r>
              <w:rPr>
                <w:rFonts w:hint="eastAsia" w:ascii="宋体" w:hAnsi="宋体" w:cs="宋体"/>
                <w:color w:val="auto"/>
                <w:szCs w:val="21"/>
                <w:highlight w:val="none"/>
              </w:rPr>
              <w:t>评审指标</w:t>
            </w:r>
          </w:p>
        </w:tc>
        <w:tc>
          <w:tcPr>
            <w:tcW w:w="824" w:type="dxa"/>
            <w:gridSpan w:val="2"/>
            <w:noWrap w:val="0"/>
            <w:vAlign w:val="center"/>
          </w:tcPr>
          <w:p w14:paraId="69993EE6">
            <w:pPr>
              <w:rPr>
                <w:rFonts w:hint="eastAsia" w:ascii="宋体" w:hAnsi="宋体" w:cs="宋体"/>
                <w:color w:val="auto"/>
                <w:szCs w:val="21"/>
                <w:highlight w:val="none"/>
              </w:rPr>
            </w:pPr>
            <w:r>
              <w:rPr>
                <w:rFonts w:hint="eastAsia" w:ascii="宋体" w:hAnsi="宋体" w:cs="宋体"/>
                <w:color w:val="auto"/>
                <w:szCs w:val="21"/>
                <w:highlight w:val="none"/>
              </w:rPr>
              <w:t>工作台</w:t>
            </w:r>
          </w:p>
        </w:tc>
        <w:tc>
          <w:tcPr>
            <w:tcW w:w="5214" w:type="dxa"/>
            <w:noWrap w:val="0"/>
            <w:vAlign w:val="center"/>
          </w:tcPr>
          <w:p w14:paraId="38ED631A">
            <w:pPr>
              <w:widowControl/>
              <w:spacing w:line="276" w:lineRule="auto"/>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数据表现：指标相关数据汇总，已创建的指标总数、已对接指标数、指标对接率、填报指标数、填报指标占比、我的</w:t>
            </w:r>
            <w:r>
              <w:rPr>
                <w:rFonts w:hint="eastAsia" w:ascii="宋体" w:hAnsi="宋体" w:cs="宋体"/>
                <w:color w:val="auto"/>
                <w:szCs w:val="21"/>
                <w:highlight w:val="none"/>
              </w:rPr>
              <w:t>待</w:t>
            </w:r>
            <w:r>
              <w:rPr>
                <w:rFonts w:hint="eastAsia" w:ascii="宋体" w:hAnsi="宋体" w:cs="宋体"/>
                <w:color w:val="auto"/>
                <w:szCs w:val="21"/>
                <w:highlight w:val="none"/>
                <w:lang w:eastAsia="zh-Hans"/>
              </w:rPr>
              <w:t>办任务数</w:t>
            </w:r>
          </w:p>
          <w:p w14:paraId="48477612">
            <w:pPr>
              <w:widowControl/>
              <w:spacing w:line="276" w:lineRule="auto"/>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各章节指标数图形概览</w:t>
            </w:r>
          </w:p>
          <w:p w14:paraId="4D1CE859">
            <w:pPr>
              <w:widowControl/>
              <w:spacing w:line="276" w:lineRule="auto"/>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指标数据来源占比：直观展示指标</w:t>
            </w:r>
            <w:r>
              <w:rPr>
                <w:rFonts w:hint="eastAsia" w:ascii="宋体" w:hAnsi="宋体" w:cs="宋体"/>
                <w:color w:val="auto"/>
                <w:szCs w:val="21"/>
                <w:highlight w:val="none"/>
              </w:rPr>
              <w:t>数据</w:t>
            </w:r>
            <w:r>
              <w:rPr>
                <w:rFonts w:hint="eastAsia" w:ascii="宋体" w:hAnsi="宋体" w:cs="宋体"/>
                <w:color w:val="auto"/>
                <w:szCs w:val="21"/>
                <w:highlight w:val="none"/>
                <w:lang w:eastAsia="zh-Hans"/>
              </w:rPr>
              <w:t>来源及占比</w:t>
            </w:r>
          </w:p>
          <w:p w14:paraId="18EF5A67">
            <w:pPr>
              <w:widowControl/>
              <w:spacing w:line="276" w:lineRule="auto"/>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各章节指标入口：指标分析的快捷入口，可直接跳转到选中的章节指标页面，进行单指标分析及溯源</w:t>
            </w:r>
          </w:p>
          <w:p w14:paraId="1B2CDE6C">
            <w:pPr>
              <w:widowControl/>
              <w:spacing w:line="276" w:lineRule="auto"/>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待办消息：对未填报的任务发送待办任务消息提醒，提供填报任务快捷入口</w:t>
            </w:r>
          </w:p>
          <w:p w14:paraId="49EC4D38">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lang w:eastAsia="zh-Hans"/>
              </w:rPr>
              <w:t>通知消息：系统公告消息汇总及列表，提供消息模块的快捷入口</w:t>
            </w:r>
          </w:p>
        </w:tc>
        <w:tc>
          <w:tcPr>
            <w:tcW w:w="1172" w:type="dxa"/>
            <w:noWrap w:val="0"/>
            <w:vAlign w:val="top"/>
          </w:tcPr>
          <w:p w14:paraId="1E041DBC">
            <w:pPr>
              <w:jc w:val="left"/>
              <w:rPr>
                <w:rFonts w:hint="eastAsia" w:ascii="宋体" w:hAnsi="宋体" w:cs="宋体"/>
                <w:color w:val="auto"/>
                <w:szCs w:val="21"/>
                <w:highlight w:val="none"/>
              </w:rPr>
            </w:pPr>
          </w:p>
        </w:tc>
      </w:tr>
      <w:tr w14:paraId="33C34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10E7F703">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46</w:t>
            </w:r>
          </w:p>
        </w:tc>
        <w:tc>
          <w:tcPr>
            <w:tcW w:w="781" w:type="dxa"/>
            <w:vMerge w:val="restart"/>
            <w:noWrap w:val="0"/>
            <w:vAlign w:val="center"/>
          </w:tcPr>
          <w:p w14:paraId="12E83BAC">
            <w:pPr>
              <w:rPr>
                <w:rFonts w:hint="eastAsia" w:ascii="宋体" w:hAnsi="宋体" w:cs="宋体"/>
                <w:color w:val="auto"/>
                <w:szCs w:val="21"/>
                <w:highlight w:val="none"/>
              </w:rPr>
            </w:pPr>
            <w:r>
              <w:rPr>
                <w:rFonts w:hint="eastAsia" w:ascii="宋体" w:hAnsi="宋体" w:cs="宋体"/>
                <w:color w:val="auto"/>
                <w:szCs w:val="21"/>
                <w:highlight w:val="none"/>
              </w:rPr>
              <w:t>指标管理</w:t>
            </w:r>
          </w:p>
        </w:tc>
        <w:tc>
          <w:tcPr>
            <w:tcW w:w="824" w:type="dxa"/>
            <w:gridSpan w:val="2"/>
            <w:noWrap w:val="0"/>
            <w:vAlign w:val="center"/>
          </w:tcPr>
          <w:p w14:paraId="5DD2F232">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指标分析</w:t>
            </w:r>
          </w:p>
        </w:tc>
        <w:tc>
          <w:tcPr>
            <w:tcW w:w="5214" w:type="dxa"/>
            <w:noWrap w:val="0"/>
            <w:vAlign w:val="center"/>
          </w:tcPr>
          <w:p w14:paraId="708A123C">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以指标树形式展示各章指标、可搜索各类指标、</w:t>
            </w:r>
            <w:r>
              <w:rPr>
                <w:rFonts w:hint="eastAsia" w:ascii="宋体" w:hAnsi="宋体" w:cs="宋体"/>
                <w:color w:val="auto"/>
                <w:szCs w:val="21"/>
                <w:highlight w:val="none"/>
                <w:lang w:eastAsia="zh-Hans"/>
              </w:rPr>
              <w:t>过滤查看指标采集方式</w:t>
            </w:r>
          </w:p>
          <w:p w14:paraId="13F454BE">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可按年、半年、季度、月、日时间类型选择指标周期进行指标查询分析</w:t>
            </w:r>
          </w:p>
          <w:p w14:paraId="2A7E125D">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可多维度及自定义维度进行指标分析</w:t>
            </w:r>
          </w:p>
          <w:p w14:paraId="4F262E59">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可对某个指标数值进行数据下钻，溯源指标原始数据</w:t>
            </w:r>
          </w:p>
          <w:p w14:paraId="42D04D6F">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支持多种专业图表分析（柱状图、折线图、饼图、玫瑰图、柏拉图等）</w:t>
            </w:r>
          </w:p>
          <w:p w14:paraId="002F798F">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lang w:eastAsia="zh-Hans"/>
              </w:rPr>
              <w:t>支持不同</w:t>
            </w:r>
            <w:r>
              <w:rPr>
                <w:rFonts w:hint="eastAsia" w:ascii="宋体" w:hAnsi="宋体" w:cs="宋体"/>
                <w:color w:val="auto"/>
                <w:szCs w:val="21"/>
                <w:highlight w:val="none"/>
              </w:rPr>
              <w:t>分析</w:t>
            </w:r>
            <w:r>
              <w:rPr>
                <w:rFonts w:hint="eastAsia" w:ascii="宋体" w:hAnsi="宋体" w:cs="宋体"/>
                <w:color w:val="auto"/>
                <w:szCs w:val="21"/>
                <w:highlight w:val="none"/>
                <w:lang w:eastAsia="zh-Hans"/>
              </w:rPr>
              <w:t>维度、</w:t>
            </w:r>
            <w:r>
              <w:rPr>
                <w:rFonts w:hint="eastAsia" w:ascii="宋体" w:hAnsi="宋体" w:cs="宋体"/>
                <w:color w:val="auto"/>
                <w:szCs w:val="21"/>
                <w:highlight w:val="none"/>
              </w:rPr>
              <w:t>数据</w:t>
            </w:r>
            <w:r>
              <w:rPr>
                <w:rFonts w:hint="eastAsia" w:ascii="宋体" w:hAnsi="宋体" w:cs="宋体"/>
                <w:color w:val="auto"/>
                <w:szCs w:val="21"/>
                <w:highlight w:val="none"/>
                <w:lang w:eastAsia="zh-Hans"/>
              </w:rPr>
              <w:t>范围</w:t>
            </w:r>
            <w:r>
              <w:rPr>
                <w:rFonts w:hint="eastAsia" w:ascii="宋体" w:hAnsi="宋体" w:cs="宋体"/>
                <w:color w:val="auto"/>
                <w:szCs w:val="21"/>
                <w:highlight w:val="none"/>
              </w:rPr>
              <w:t>、</w:t>
            </w:r>
            <w:r>
              <w:rPr>
                <w:rFonts w:hint="eastAsia" w:ascii="宋体" w:hAnsi="宋体" w:cs="宋体"/>
                <w:color w:val="auto"/>
                <w:szCs w:val="21"/>
                <w:highlight w:val="none"/>
                <w:lang w:eastAsia="zh-Hans"/>
              </w:rPr>
              <w:t>排名进行图表分析</w:t>
            </w:r>
          </w:p>
          <w:p w14:paraId="20A6F2C8">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可查看每个指标计算公式及指标说明。</w:t>
            </w:r>
          </w:p>
          <w:p w14:paraId="30F5DFCB">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支持指标数据及图表的导出下载</w:t>
            </w:r>
          </w:p>
          <w:p w14:paraId="7BEEC384">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lang w:eastAsia="zh-Hans"/>
              </w:rPr>
              <w:t>支持图表数据</w:t>
            </w:r>
            <w:r>
              <w:rPr>
                <w:rFonts w:hint="eastAsia" w:ascii="宋体" w:hAnsi="宋体" w:cs="宋体"/>
                <w:color w:val="auto"/>
                <w:szCs w:val="21"/>
                <w:highlight w:val="none"/>
              </w:rPr>
              <w:t>自动</w:t>
            </w:r>
            <w:r>
              <w:rPr>
                <w:rFonts w:hint="eastAsia" w:ascii="宋体" w:hAnsi="宋体" w:cs="宋体"/>
                <w:color w:val="auto"/>
                <w:szCs w:val="21"/>
                <w:highlight w:val="none"/>
                <w:lang w:eastAsia="zh-Hans"/>
              </w:rPr>
              <w:t>生成文字结论并下载</w:t>
            </w:r>
          </w:p>
        </w:tc>
        <w:tc>
          <w:tcPr>
            <w:tcW w:w="1172" w:type="dxa"/>
            <w:noWrap w:val="0"/>
            <w:vAlign w:val="top"/>
          </w:tcPr>
          <w:p w14:paraId="3488EED0">
            <w:pPr>
              <w:jc w:val="left"/>
              <w:rPr>
                <w:rFonts w:hint="eastAsia" w:ascii="宋体" w:hAnsi="宋体" w:cs="宋体"/>
                <w:color w:val="auto"/>
                <w:szCs w:val="21"/>
                <w:highlight w:val="none"/>
              </w:rPr>
            </w:pPr>
          </w:p>
        </w:tc>
      </w:tr>
      <w:tr w14:paraId="24395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40467A7A">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47</w:t>
            </w:r>
          </w:p>
        </w:tc>
        <w:tc>
          <w:tcPr>
            <w:tcW w:w="781" w:type="dxa"/>
            <w:vMerge w:val="continue"/>
            <w:noWrap w:val="0"/>
            <w:vAlign w:val="center"/>
          </w:tcPr>
          <w:p w14:paraId="13DC1728">
            <w:pPr>
              <w:rPr>
                <w:rFonts w:hint="eastAsia" w:ascii="宋体" w:hAnsi="宋体" w:cs="宋体"/>
                <w:color w:val="auto"/>
                <w:szCs w:val="21"/>
                <w:highlight w:val="none"/>
              </w:rPr>
            </w:pPr>
          </w:p>
        </w:tc>
        <w:tc>
          <w:tcPr>
            <w:tcW w:w="824" w:type="dxa"/>
            <w:gridSpan w:val="2"/>
            <w:noWrap w:val="0"/>
            <w:vAlign w:val="center"/>
          </w:tcPr>
          <w:p w14:paraId="7C20F7B9">
            <w:pPr>
              <w:rPr>
                <w:rFonts w:hint="eastAsia" w:ascii="宋体" w:hAnsi="宋体" w:cs="宋体"/>
                <w:color w:val="auto"/>
                <w:szCs w:val="21"/>
                <w:highlight w:val="none"/>
              </w:rPr>
            </w:pPr>
            <w:r>
              <w:rPr>
                <w:rFonts w:hint="eastAsia" w:ascii="宋体" w:hAnsi="宋体" w:cs="宋体"/>
                <w:color w:val="auto"/>
                <w:szCs w:val="21"/>
                <w:highlight w:val="none"/>
              </w:rPr>
              <w:t>指标库</w:t>
            </w:r>
          </w:p>
        </w:tc>
        <w:tc>
          <w:tcPr>
            <w:tcW w:w="5214" w:type="dxa"/>
            <w:noWrap w:val="0"/>
            <w:vAlign w:val="center"/>
          </w:tcPr>
          <w:p w14:paraId="7F9112CE">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通过指标设计器实现指标的自定义设置、算法设置、定义指标类型（单指标、复合指标）、定义数据格式（整数、小数、百分比、千分比等）、指标的计算方法（去重计数、计数、平均数、求和、中位数）、定义选择数据源、定义指标分析维度、时间维度、是否追溯等</w:t>
            </w:r>
          </w:p>
          <w:p w14:paraId="3F369E12">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支持指标的增删改查操作</w:t>
            </w:r>
          </w:p>
          <w:p w14:paraId="74D64D80">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支持全部指标下载</w:t>
            </w:r>
          </w:p>
        </w:tc>
        <w:tc>
          <w:tcPr>
            <w:tcW w:w="1172" w:type="dxa"/>
            <w:noWrap w:val="0"/>
            <w:vAlign w:val="top"/>
          </w:tcPr>
          <w:p w14:paraId="1C688338">
            <w:pPr>
              <w:jc w:val="left"/>
              <w:rPr>
                <w:rFonts w:hint="eastAsia" w:ascii="宋体" w:hAnsi="宋体" w:cs="宋体"/>
                <w:color w:val="auto"/>
                <w:szCs w:val="21"/>
                <w:highlight w:val="none"/>
              </w:rPr>
            </w:pPr>
          </w:p>
        </w:tc>
      </w:tr>
      <w:tr w14:paraId="5BEBC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B45EC3D">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48</w:t>
            </w:r>
          </w:p>
        </w:tc>
        <w:tc>
          <w:tcPr>
            <w:tcW w:w="781" w:type="dxa"/>
            <w:vMerge w:val="continue"/>
            <w:noWrap w:val="0"/>
            <w:vAlign w:val="center"/>
          </w:tcPr>
          <w:p w14:paraId="10DDB6A6">
            <w:pPr>
              <w:rPr>
                <w:rFonts w:hint="eastAsia" w:ascii="宋体" w:hAnsi="宋体" w:cs="宋体"/>
                <w:color w:val="auto"/>
                <w:szCs w:val="21"/>
                <w:highlight w:val="none"/>
              </w:rPr>
            </w:pPr>
          </w:p>
        </w:tc>
        <w:tc>
          <w:tcPr>
            <w:tcW w:w="824" w:type="dxa"/>
            <w:gridSpan w:val="2"/>
            <w:noWrap w:val="0"/>
            <w:vAlign w:val="center"/>
          </w:tcPr>
          <w:p w14:paraId="60DF33EE">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lang w:eastAsia="zh-Hans"/>
              </w:rPr>
              <w:t>指标概览</w:t>
            </w:r>
          </w:p>
        </w:tc>
        <w:tc>
          <w:tcPr>
            <w:tcW w:w="5214" w:type="dxa"/>
            <w:noWrap w:val="0"/>
            <w:vAlign w:val="center"/>
          </w:tcPr>
          <w:p w14:paraId="78DA8B51">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可按年、季度、月周期类型自定义数据范围，对全部指标或按章节、或按分类进行指标的查询分析、指标值汇总</w:t>
            </w:r>
          </w:p>
          <w:p w14:paraId="767833D0">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可对单个指标数值进行数据下钻，溯源指标原始数据</w:t>
            </w:r>
          </w:p>
          <w:p w14:paraId="5CDAEC26">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提供指标值简易趋势图分析</w:t>
            </w:r>
          </w:p>
          <w:p w14:paraId="665D0792">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支持溯源原始数据导出</w:t>
            </w:r>
          </w:p>
          <w:p w14:paraId="4E356B8F">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支持按照指标采集方式、指标分类查询</w:t>
            </w:r>
          </w:p>
        </w:tc>
        <w:tc>
          <w:tcPr>
            <w:tcW w:w="1172" w:type="dxa"/>
            <w:noWrap w:val="0"/>
            <w:vAlign w:val="top"/>
          </w:tcPr>
          <w:p w14:paraId="1A28A62F">
            <w:pPr>
              <w:jc w:val="left"/>
              <w:rPr>
                <w:rFonts w:hint="eastAsia" w:ascii="宋体" w:hAnsi="宋体" w:cs="宋体"/>
                <w:color w:val="auto"/>
                <w:szCs w:val="21"/>
                <w:highlight w:val="none"/>
              </w:rPr>
            </w:pPr>
          </w:p>
        </w:tc>
      </w:tr>
      <w:tr w14:paraId="22D61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8C17602">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49</w:t>
            </w:r>
          </w:p>
        </w:tc>
        <w:tc>
          <w:tcPr>
            <w:tcW w:w="781" w:type="dxa"/>
            <w:vMerge w:val="continue"/>
            <w:noWrap w:val="0"/>
            <w:vAlign w:val="center"/>
          </w:tcPr>
          <w:p w14:paraId="224E5CFA">
            <w:pPr>
              <w:rPr>
                <w:rFonts w:hint="eastAsia" w:ascii="宋体" w:hAnsi="宋体" w:cs="宋体"/>
                <w:color w:val="auto"/>
                <w:szCs w:val="21"/>
                <w:highlight w:val="none"/>
              </w:rPr>
            </w:pPr>
          </w:p>
        </w:tc>
        <w:tc>
          <w:tcPr>
            <w:tcW w:w="824" w:type="dxa"/>
            <w:gridSpan w:val="2"/>
            <w:noWrap w:val="0"/>
            <w:vAlign w:val="center"/>
          </w:tcPr>
          <w:p w14:paraId="20AEA79E">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指标分配</w:t>
            </w:r>
          </w:p>
        </w:tc>
        <w:tc>
          <w:tcPr>
            <w:tcW w:w="5214" w:type="dxa"/>
            <w:noWrap w:val="0"/>
            <w:vAlign w:val="center"/>
          </w:tcPr>
          <w:p w14:paraId="625599BE">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以科室树形式展示所有科室，方便快捷的为各科室分配属于本科室可以查看分析的指标</w:t>
            </w:r>
          </w:p>
          <w:p w14:paraId="5C89CDF5">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指标数据权限，可按科室为单位，为指标分配归属科室，分配该科室可分析和溯源的指标权限</w:t>
            </w:r>
          </w:p>
          <w:p w14:paraId="2755BE92">
            <w:pPr>
              <w:widowControl/>
              <w:tabs>
                <w:tab w:val="left" w:pos="312"/>
              </w:tabs>
              <w:rPr>
                <w:rFonts w:hint="eastAsia" w:ascii="宋体" w:hAnsi="宋体" w:cs="宋体"/>
                <w:color w:val="auto"/>
                <w:szCs w:val="21"/>
                <w:highlight w:val="none"/>
              </w:rPr>
            </w:pPr>
            <w:r>
              <w:rPr>
                <w:rFonts w:hint="eastAsia" w:ascii="宋体" w:hAnsi="宋体" w:cs="宋体"/>
                <w:color w:val="auto"/>
                <w:szCs w:val="21"/>
                <w:highlight w:val="none"/>
              </w:rPr>
              <w:t>指标分配列表，可通过数据过滤进行查看分配信息</w:t>
            </w:r>
          </w:p>
        </w:tc>
        <w:tc>
          <w:tcPr>
            <w:tcW w:w="1172" w:type="dxa"/>
            <w:noWrap w:val="0"/>
            <w:vAlign w:val="top"/>
          </w:tcPr>
          <w:p w14:paraId="38EC983D">
            <w:pPr>
              <w:jc w:val="left"/>
              <w:rPr>
                <w:rFonts w:hint="eastAsia" w:ascii="宋体" w:hAnsi="宋体" w:cs="宋体"/>
                <w:color w:val="auto"/>
                <w:szCs w:val="21"/>
                <w:highlight w:val="none"/>
              </w:rPr>
            </w:pPr>
          </w:p>
        </w:tc>
      </w:tr>
      <w:tr w14:paraId="7EEDD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4E7D1864">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50</w:t>
            </w:r>
          </w:p>
        </w:tc>
        <w:tc>
          <w:tcPr>
            <w:tcW w:w="781" w:type="dxa"/>
            <w:vMerge w:val="continue"/>
            <w:noWrap w:val="0"/>
            <w:vAlign w:val="center"/>
          </w:tcPr>
          <w:p w14:paraId="0126CE13">
            <w:pPr>
              <w:rPr>
                <w:rFonts w:hint="eastAsia" w:ascii="宋体" w:hAnsi="宋体" w:cs="宋体"/>
                <w:color w:val="auto"/>
                <w:szCs w:val="21"/>
                <w:highlight w:val="none"/>
              </w:rPr>
            </w:pPr>
          </w:p>
        </w:tc>
        <w:tc>
          <w:tcPr>
            <w:tcW w:w="824" w:type="dxa"/>
            <w:gridSpan w:val="2"/>
            <w:noWrap w:val="0"/>
            <w:vAlign w:val="center"/>
          </w:tcPr>
          <w:p w14:paraId="16AFFCA3">
            <w:pPr>
              <w:widowControl/>
              <w:tabs>
                <w:tab w:val="left" w:pos="312"/>
              </w:tabs>
              <w:rPr>
                <w:rFonts w:hint="eastAsia" w:ascii="宋体" w:hAnsi="宋体" w:cs="宋体"/>
                <w:color w:val="auto"/>
                <w:szCs w:val="21"/>
                <w:highlight w:val="none"/>
                <w:lang w:eastAsia="zh-Hans"/>
              </w:rPr>
            </w:pPr>
            <w:r>
              <w:rPr>
                <w:rFonts w:hint="eastAsia" w:ascii="宋体" w:hAnsi="宋体" w:cs="宋体"/>
                <w:color w:val="auto"/>
                <w:szCs w:val="21"/>
                <w:highlight w:val="none"/>
              </w:rPr>
              <w:t>指标设置</w:t>
            </w:r>
          </w:p>
        </w:tc>
        <w:tc>
          <w:tcPr>
            <w:tcW w:w="5214" w:type="dxa"/>
            <w:noWrap w:val="0"/>
            <w:vAlign w:val="center"/>
          </w:tcPr>
          <w:p w14:paraId="3D2F9D31">
            <w:pPr>
              <w:widowControl/>
              <w:tabs>
                <w:tab w:val="left" w:pos="312"/>
              </w:tabs>
              <w:rPr>
                <w:rFonts w:hint="eastAsia" w:ascii="宋体" w:hAnsi="宋体" w:cs="宋体"/>
                <w:color w:val="auto"/>
                <w:szCs w:val="21"/>
                <w:highlight w:val="none"/>
                <w:lang w:eastAsia="zh-Hans"/>
              </w:rPr>
            </w:pPr>
            <w:r>
              <w:rPr>
                <w:rFonts w:hint="eastAsia" w:ascii="宋体" w:hAnsi="宋体" w:cs="宋体"/>
                <w:color w:val="auto"/>
                <w:szCs w:val="21"/>
                <w:highlight w:val="none"/>
              </w:rPr>
              <w:t>指标设置</w:t>
            </w:r>
            <w:r>
              <w:rPr>
                <w:rFonts w:hint="eastAsia" w:ascii="宋体" w:hAnsi="宋体" w:cs="宋体"/>
                <w:color w:val="auto"/>
                <w:szCs w:val="21"/>
                <w:highlight w:val="none"/>
                <w:lang w:eastAsia="zh-Hans"/>
              </w:rPr>
              <w:t>指标基础属性维护：可维护</w:t>
            </w:r>
            <w:r>
              <w:rPr>
                <w:rFonts w:hint="eastAsia" w:ascii="宋体" w:hAnsi="宋体" w:cs="宋体"/>
                <w:color w:val="auto"/>
                <w:szCs w:val="21"/>
                <w:highlight w:val="none"/>
              </w:rPr>
              <w:t>指标分类、指标属性、计量单位、指标来源、指标导向</w:t>
            </w:r>
            <w:r>
              <w:rPr>
                <w:rFonts w:hint="eastAsia" w:ascii="宋体" w:hAnsi="宋体" w:cs="宋体"/>
                <w:color w:val="auto"/>
                <w:szCs w:val="21"/>
                <w:highlight w:val="none"/>
                <w:lang w:eastAsia="zh-Hans"/>
              </w:rPr>
              <w:t>的字典值</w:t>
            </w:r>
          </w:p>
          <w:p w14:paraId="5D29225E">
            <w:pPr>
              <w:widowControl/>
              <w:tabs>
                <w:tab w:val="left" w:pos="312"/>
              </w:tabs>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可对</w:t>
            </w:r>
            <w:r>
              <w:rPr>
                <w:rFonts w:hint="eastAsia" w:ascii="宋体" w:hAnsi="宋体" w:cs="宋体"/>
                <w:color w:val="auto"/>
                <w:szCs w:val="21"/>
                <w:highlight w:val="none"/>
              </w:rPr>
              <w:t>指标分类、指标属性、计量单位、指标来源、指标导向</w:t>
            </w:r>
            <w:r>
              <w:rPr>
                <w:rFonts w:hint="eastAsia" w:ascii="宋体" w:hAnsi="宋体" w:cs="宋体"/>
                <w:color w:val="auto"/>
                <w:szCs w:val="21"/>
                <w:highlight w:val="none"/>
                <w:lang w:eastAsia="zh-Hans"/>
              </w:rPr>
              <w:t>进行增删改查操作</w:t>
            </w:r>
          </w:p>
        </w:tc>
        <w:tc>
          <w:tcPr>
            <w:tcW w:w="1172" w:type="dxa"/>
            <w:noWrap w:val="0"/>
            <w:vAlign w:val="top"/>
          </w:tcPr>
          <w:p w14:paraId="3201CE85">
            <w:pPr>
              <w:jc w:val="left"/>
              <w:rPr>
                <w:rFonts w:hint="eastAsia" w:ascii="宋体" w:hAnsi="宋体" w:cs="宋体"/>
                <w:color w:val="auto"/>
                <w:szCs w:val="21"/>
                <w:highlight w:val="none"/>
              </w:rPr>
            </w:pPr>
          </w:p>
        </w:tc>
      </w:tr>
      <w:tr w14:paraId="11C06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1F2833CB">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51</w:t>
            </w:r>
          </w:p>
        </w:tc>
        <w:tc>
          <w:tcPr>
            <w:tcW w:w="781" w:type="dxa"/>
            <w:vMerge w:val="restart"/>
            <w:noWrap w:val="0"/>
            <w:vAlign w:val="center"/>
          </w:tcPr>
          <w:p w14:paraId="74B6213B">
            <w:pPr>
              <w:rPr>
                <w:rFonts w:hint="eastAsia" w:ascii="宋体" w:hAnsi="宋体" w:cs="宋体"/>
                <w:color w:val="auto"/>
                <w:szCs w:val="21"/>
                <w:highlight w:val="none"/>
              </w:rPr>
            </w:pPr>
            <w:r>
              <w:rPr>
                <w:rFonts w:hint="eastAsia" w:ascii="宋体" w:hAnsi="宋体" w:cs="宋体"/>
                <w:color w:val="auto"/>
                <w:szCs w:val="21"/>
                <w:highlight w:val="none"/>
              </w:rPr>
              <w:t>填报管理</w:t>
            </w:r>
          </w:p>
        </w:tc>
        <w:tc>
          <w:tcPr>
            <w:tcW w:w="824" w:type="dxa"/>
            <w:gridSpan w:val="2"/>
            <w:noWrap w:val="0"/>
            <w:vAlign w:val="center"/>
          </w:tcPr>
          <w:p w14:paraId="3958E7C1">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rPr>
              <w:t>填报单项</w:t>
            </w:r>
          </w:p>
        </w:tc>
        <w:tc>
          <w:tcPr>
            <w:tcW w:w="5214" w:type="dxa"/>
            <w:noWrap w:val="0"/>
            <w:vAlign w:val="center"/>
          </w:tcPr>
          <w:p w14:paraId="37F560D3">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可自定义人工填报的填报单模版所需的填报单项，为创建填报单模版提供设计好的各字段单项</w:t>
            </w:r>
          </w:p>
          <w:p w14:paraId="7F0B27E8">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内置电子表单生成器，提供表单组件、辅助组件、表单配置等功能，可灵活便捷的设计各种填报单项，以及单项属性</w:t>
            </w:r>
          </w:p>
          <w:p w14:paraId="27D7F447">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填报单项列表，支持增删改查</w:t>
            </w:r>
          </w:p>
        </w:tc>
        <w:tc>
          <w:tcPr>
            <w:tcW w:w="1172" w:type="dxa"/>
            <w:noWrap w:val="0"/>
            <w:vAlign w:val="top"/>
          </w:tcPr>
          <w:p w14:paraId="73C92785">
            <w:pPr>
              <w:jc w:val="left"/>
              <w:rPr>
                <w:rFonts w:hint="eastAsia" w:ascii="宋体" w:hAnsi="宋体" w:cs="宋体"/>
                <w:color w:val="auto"/>
                <w:szCs w:val="21"/>
                <w:highlight w:val="none"/>
              </w:rPr>
            </w:pPr>
          </w:p>
        </w:tc>
      </w:tr>
      <w:tr w14:paraId="7CADB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5FFF88F9">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52</w:t>
            </w:r>
          </w:p>
        </w:tc>
        <w:tc>
          <w:tcPr>
            <w:tcW w:w="781" w:type="dxa"/>
            <w:vMerge w:val="continue"/>
            <w:noWrap w:val="0"/>
            <w:vAlign w:val="center"/>
          </w:tcPr>
          <w:p w14:paraId="6F198FA8">
            <w:pPr>
              <w:rPr>
                <w:rFonts w:hint="eastAsia" w:ascii="宋体" w:hAnsi="宋体" w:cs="宋体"/>
                <w:color w:val="auto"/>
                <w:szCs w:val="21"/>
                <w:highlight w:val="none"/>
              </w:rPr>
            </w:pPr>
          </w:p>
        </w:tc>
        <w:tc>
          <w:tcPr>
            <w:tcW w:w="824" w:type="dxa"/>
            <w:gridSpan w:val="2"/>
            <w:noWrap w:val="0"/>
            <w:vAlign w:val="center"/>
          </w:tcPr>
          <w:p w14:paraId="45343398">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rPr>
              <w:t>填报单列表</w:t>
            </w:r>
          </w:p>
        </w:tc>
        <w:tc>
          <w:tcPr>
            <w:tcW w:w="5214" w:type="dxa"/>
            <w:noWrap w:val="0"/>
            <w:vAlign w:val="center"/>
          </w:tcPr>
          <w:p w14:paraId="54B415FC">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内置电子表单生成器、填报单项列表等，可基于填报单项，创建生成各科室负责的填报表单，如财务科指标填报表单等</w:t>
            </w:r>
          </w:p>
          <w:p w14:paraId="1A4BA30E">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数据权限：为不同的填报表单配置填报科室及审核科室，多选</w:t>
            </w:r>
          </w:p>
          <w:p w14:paraId="2C23C51F">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填报单模版分类：可为填报单按照科室进行分类归档</w:t>
            </w:r>
          </w:p>
          <w:p w14:paraId="44310482">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采集周期：权限控制，拥有采集周期设置权限的用户，可以对该填报单模版设置好周期类型和年度时间，设置好的周期类型，填报员不可编辑更改</w:t>
            </w:r>
          </w:p>
          <w:p w14:paraId="0E3769B2">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支持填报单项快捷搜索</w:t>
            </w:r>
          </w:p>
          <w:p w14:paraId="74A5C1FA">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填报单模版开关控制：可对填报单进行开关状态设置，未开启状态的填报单，不能进行填报，且填报员没有该填报单模版信息</w:t>
            </w:r>
          </w:p>
          <w:p w14:paraId="43F4C61E">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支持对填报单模版进行增删改查</w:t>
            </w:r>
          </w:p>
        </w:tc>
        <w:tc>
          <w:tcPr>
            <w:tcW w:w="1172" w:type="dxa"/>
            <w:noWrap w:val="0"/>
            <w:vAlign w:val="top"/>
          </w:tcPr>
          <w:p w14:paraId="6D7C5C91">
            <w:pPr>
              <w:jc w:val="left"/>
              <w:rPr>
                <w:rFonts w:hint="eastAsia" w:ascii="宋体" w:hAnsi="宋体" w:cs="宋体"/>
                <w:color w:val="auto"/>
                <w:szCs w:val="21"/>
                <w:highlight w:val="none"/>
              </w:rPr>
            </w:pPr>
          </w:p>
        </w:tc>
      </w:tr>
      <w:tr w14:paraId="1C3A0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78C7F41">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53</w:t>
            </w:r>
          </w:p>
        </w:tc>
        <w:tc>
          <w:tcPr>
            <w:tcW w:w="781" w:type="dxa"/>
            <w:vMerge w:val="continue"/>
            <w:noWrap w:val="0"/>
            <w:vAlign w:val="center"/>
          </w:tcPr>
          <w:p w14:paraId="6D648A13">
            <w:pPr>
              <w:rPr>
                <w:rFonts w:hint="eastAsia" w:ascii="宋体" w:hAnsi="宋体" w:cs="宋体"/>
                <w:color w:val="auto"/>
                <w:szCs w:val="21"/>
                <w:highlight w:val="none"/>
              </w:rPr>
            </w:pPr>
          </w:p>
        </w:tc>
        <w:tc>
          <w:tcPr>
            <w:tcW w:w="824" w:type="dxa"/>
            <w:gridSpan w:val="2"/>
            <w:noWrap w:val="0"/>
            <w:vAlign w:val="center"/>
          </w:tcPr>
          <w:p w14:paraId="1650983D">
            <w:pPr>
              <w:widowControl/>
              <w:rPr>
                <w:rFonts w:hint="eastAsia" w:ascii="宋体" w:hAnsi="宋体" w:cs="宋体"/>
                <w:color w:val="auto"/>
                <w:szCs w:val="21"/>
                <w:highlight w:val="none"/>
              </w:rPr>
            </w:pPr>
            <w:r>
              <w:rPr>
                <w:rFonts w:hint="eastAsia" w:ascii="宋体" w:hAnsi="宋体" w:cs="宋体"/>
                <w:color w:val="auto"/>
                <w:szCs w:val="21"/>
                <w:highlight w:val="none"/>
              </w:rPr>
              <w:t>审核列表</w:t>
            </w:r>
          </w:p>
        </w:tc>
        <w:tc>
          <w:tcPr>
            <w:tcW w:w="5214" w:type="dxa"/>
            <w:noWrap w:val="0"/>
            <w:vAlign w:val="center"/>
          </w:tcPr>
          <w:p w14:paraId="6884F34E">
            <w:pPr>
              <w:widowControl/>
              <w:rPr>
                <w:rFonts w:hint="eastAsia" w:ascii="宋体" w:hAnsi="宋体" w:cs="宋体"/>
                <w:color w:val="auto"/>
                <w:szCs w:val="21"/>
                <w:highlight w:val="none"/>
              </w:rPr>
            </w:pPr>
            <w:r>
              <w:rPr>
                <w:rFonts w:hint="eastAsia" w:ascii="宋体" w:hAnsi="宋体" w:cs="宋体"/>
                <w:color w:val="auto"/>
                <w:szCs w:val="21"/>
                <w:highlight w:val="none"/>
                <w:lang w:eastAsia="zh-Hans"/>
              </w:rPr>
              <w:t>拥有填报单审核权限的用户，可对填报员提交的</w:t>
            </w:r>
            <w:r>
              <w:rPr>
                <w:rFonts w:hint="eastAsia" w:ascii="宋体" w:hAnsi="宋体" w:cs="宋体"/>
                <w:color w:val="auto"/>
                <w:szCs w:val="21"/>
                <w:highlight w:val="none"/>
              </w:rPr>
              <w:t>填报</w:t>
            </w:r>
            <w:r>
              <w:rPr>
                <w:rFonts w:hint="eastAsia" w:ascii="宋体" w:hAnsi="宋体" w:cs="宋体"/>
                <w:color w:val="auto"/>
                <w:szCs w:val="21"/>
                <w:highlight w:val="none"/>
                <w:lang w:eastAsia="zh-Hans"/>
              </w:rPr>
              <w:t>表单</w:t>
            </w:r>
            <w:r>
              <w:rPr>
                <w:rFonts w:hint="eastAsia" w:ascii="宋体" w:hAnsi="宋体" w:cs="宋体"/>
                <w:color w:val="auto"/>
                <w:szCs w:val="21"/>
                <w:highlight w:val="none"/>
              </w:rPr>
              <w:t>内容</w:t>
            </w:r>
            <w:r>
              <w:rPr>
                <w:rFonts w:hint="eastAsia" w:ascii="宋体" w:hAnsi="宋体" w:cs="宋体"/>
                <w:color w:val="auto"/>
                <w:szCs w:val="21"/>
                <w:highlight w:val="none"/>
                <w:lang w:eastAsia="zh-Hans"/>
              </w:rPr>
              <w:t>进行审核，</w:t>
            </w:r>
          </w:p>
          <w:p w14:paraId="57ECB62C">
            <w:pPr>
              <w:widowControl/>
              <w:rPr>
                <w:rFonts w:hint="eastAsia" w:ascii="宋体" w:hAnsi="宋体" w:cs="宋体"/>
                <w:color w:val="auto"/>
                <w:szCs w:val="21"/>
                <w:highlight w:val="none"/>
              </w:rPr>
            </w:pPr>
            <w:r>
              <w:rPr>
                <w:rFonts w:hint="eastAsia" w:ascii="宋体" w:hAnsi="宋体" w:cs="宋体"/>
                <w:color w:val="auto"/>
                <w:szCs w:val="21"/>
                <w:highlight w:val="none"/>
              </w:rPr>
              <w:t>支持审核过程中</w:t>
            </w:r>
            <w:r>
              <w:rPr>
                <w:rFonts w:hint="eastAsia" w:ascii="宋体" w:hAnsi="宋体" w:cs="宋体"/>
                <w:color w:val="auto"/>
                <w:szCs w:val="21"/>
                <w:highlight w:val="none"/>
                <w:lang w:eastAsia="zh-Hans"/>
              </w:rPr>
              <w:t>对填报表单进行</w:t>
            </w:r>
            <w:r>
              <w:rPr>
                <w:rFonts w:hint="eastAsia" w:ascii="宋体" w:hAnsi="宋体" w:cs="宋体"/>
                <w:color w:val="auto"/>
                <w:szCs w:val="21"/>
                <w:highlight w:val="none"/>
              </w:rPr>
              <w:t>审核通过、作废、</w:t>
            </w:r>
            <w:r>
              <w:rPr>
                <w:rFonts w:hint="eastAsia" w:ascii="宋体" w:hAnsi="宋体" w:cs="宋体"/>
                <w:color w:val="auto"/>
                <w:szCs w:val="21"/>
                <w:highlight w:val="none"/>
                <w:lang w:eastAsia="zh-Hans"/>
              </w:rPr>
              <w:t>不通过</w:t>
            </w:r>
            <w:r>
              <w:rPr>
                <w:rFonts w:hint="eastAsia" w:ascii="宋体" w:hAnsi="宋体" w:cs="宋体"/>
                <w:color w:val="auto"/>
                <w:szCs w:val="21"/>
                <w:highlight w:val="none"/>
              </w:rPr>
              <w:t>等操作，</w:t>
            </w:r>
            <w:r>
              <w:rPr>
                <w:rFonts w:hint="eastAsia" w:ascii="宋体" w:hAnsi="宋体" w:cs="宋体"/>
                <w:color w:val="auto"/>
                <w:szCs w:val="21"/>
                <w:highlight w:val="none"/>
                <w:lang w:eastAsia="zh-Hans"/>
              </w:rPr>
              <w:t>审核不通过需写明不通过原因</w:t>
            </w:r>
          </w:p>
          <w:p w14:paraId="54ED6AA6">
            <w:pPr>
              <w:widowControl/>
              <w:rPr>
                <w:rFonts w:hint="eastAsia" w:ascii="宋体" w:hAnsi="宋体" w:cs="宋体"/>
                <w:color w:val="auto"/>
                <w:szCs w:val="21"/>
                <w:highlight w:val="none"/>
              </w:rPr>
            </w:pPr>
            <w:r>
              <w:rPr>
                <w:rFonts w:hint="eastAsia" w:ascii="宋体" w:hAnsi="宋体" w:cs="宋体"/>
                <w:color w:val="auto"/>
                <w:szCs w:val="21"/>
                <w:highlight w:val="none"/>
                <w:lang w:eastAsia="zh-Hans"/>
              </w:rPr>
              <w:t>可对审核列表的表单进行删除、修改的操作，修改后，填报单列表处的数据将与审核列表同步</w:t>
            </w:r>
          </w:p>
          <w:p w14:paraId="01DEF9F7">
            <w:pPr>
              <w:widowControl/>
              <w:rPr>
                <w:rFonts w:hint="eastAsia" w:ascii="宋体" w:hAnsi="宋体" w:cs="宋体"/>
                <w:color w:val="auto"/>
                <w:szCs w:val="21"/>
                <w:highlight w:val="none"/>
              </w:rPr>
            </w:pPr>
            <w:r>
              <w:rPr>
                <w:rFonts w:hint="eastAsia" w:ascii="宋体" w:hAnsi="宋体" w:cs="宋体"/>
                <w:color w:val="auto"/>
                <w:szCs w:val="21"/>
                <w:highlight w:val="none"/>
                <w:lang w:eastAsia="zh-Hans"/>
              </w:rPr>
              <w:t>可对审核列表表单进行批量审核通过、不通过，批量删除等操作</w:t>
            </w:r>
          </w:p>
        </w:tc>
        <w:tc>
          <w:tcPr>
            <w:tcW w:w="1172" w:type="dxa"/>
            <w:noWrap w:val="0"/>
            <w:vAlign w:val="top"/>
          </w:tcPr>
          <w:p w14:paraId="3F837E02">
            <w:pPr>
              <w:jc w:val="left"/>
              <w:rPr>
                <w:rFonts w:hint="eastAsia" w:ascii="宋体" w:hAnsi="宋体" w:cs="宋体"/>
                <w:color w:val="auto"/>
                <w:szCs w:val="21"/>
                <w:highlight w:val="none"/>
              </w:rPr>
            </w:pPr>
          </w:p>
        </w:tc>
      </w:tr>
      <w:tr w14:paraId="3DBE1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4955EBD5">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54</w:t>
            </w:r>
          </w:p>
        </w:tc>
        <w:tc>
          <w:tcPr>
            <w:tcW w:w="781" w:type="dxa"/>
            <w:vMerge w:val="continue"/>
            <w:noWrap w:val="0"/>
            <w:vAlign w:val="center"/>
          </w:tcPr>
          <w:p w14:paraId="44D2B5D6">
            <w:pPr>
              <w:rPr>
                <w:rFonts w:hint="eastAsia" w:ascii="宋体" w:hAnsi="宋体" w:cs="宋体"/>
                <w:color w:val="auto"/>
                <w:szCs w:val="21"/>
                <w:highlight w:val="none"/>
              </w:rPr>
            </w:pPr>
          </w:p>
        </w:tc>
        <w:tc>
          <w:tcPr>
            <w:tcW w:w="824" w:type="dxa"/>
            <w:gridSpan w:val="2"/>
            <w:noWrap w:val="0"/>
            <w:vAlign w:val="center"/>
          </w:tcPr>
          <w:p w14:paraId="412953DD">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填报设置</w:t>
            </w:r>
          </w:p>
        </w:tc>
        <w:tc>
          <w:tcPr>
            <w:tcW w:w="5214" w:type="dxa"/>
            <w:noWrap w:val="0"/>
            <w:vAlign w:val="center"/>
          </w:tcPr>
          <w:p w14:paraId="6A9D38C2">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设置填报单填报提示周期和提醒时间，可进行不同的提示周期设置，</w:t>
            </w:r>
          </w:p>
          <w:p w14:paraId="38E4A18A">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系统后台通过判断该填报单所属的填报员是否在设置的时间周期范围内完成填报任务，来进行待办任务的数据汇总以及消息提示，并提供填报的快捷入口</w:t>
            </w:r>
          </w:p>
        </w:tc>
        <w:tc>
          <w:tcPr>
            <w:tcW w:w="1172" w:type="dxa"/>
            <w:noWrap w:val="0"/>
            <w:vAlign w:val="top"/>
          </w:tcPr>
          <w:p w14:paraId="5557B4E3">
            <w:pPr>
              <w:jc w:val="left"/>
              <w:rPr>
                <w:rFonts w:hint="eastAsia" w:ascii="宋体" w:hAnsi="宋体" w:cs="宋体"/>
                <w:color w:val="auto"/>
                <w:szCs w:val="21"/>
                <w:highlight w:val="none"/>
              </w:rPr>
            </w:pPr>
          </w:p>
        </w:tc>
      </w:tr>
      <w:tr w14:paraId="673FB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6ABFF4CE">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55</w:t>
            </w:r>
          </w:p>
        </w:tc>
        <w:tc>
          <w:tcPr>
            <w:tcW w:w="781" w:type="dxa"/>
            <w:vMerge w:val="continue"/>
            <w:noWrap w:val="0"/>
            <w:vAlign w:val="center"/>
          </w:tcPr>
          <w:p w14:paraId="552F04F0">
            <w:pPr>
              <w:rPr>
                <w:rFonts w:hint="eastAsia" w:ascii="宋体" w:hAnsi="宋体" w:cs="宋体"/>
                <w:color w:val="auto"/>
                <w:szCs w:val="21"/>
                <w:highlight w:val="none"/>
              </w:rPr>
            </w:pPr>
          </w:p>
        </w:tc>
        <w:tc>
          <w:tcPr>
            <w:tcW w:w="824" w:type="dxa"/>
            <w:gridSpan w:val="2"/>
            <w:noWrap w:val="0"/>
            <w:vAlign w:val="center"/>
          </w:tcPr>
          <w:p w14:paraId="56F92E36">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台账单项列表</w:t>
            </w:r>
          </w:p>
        </w:tc>
        <w:tc>
          <w:tcPr>
            <w:tcW w:w="5214" w:type="dxa"/>
            <w:noWrap w:val="0"/>
            <w:vAlign w:val="center"/>
          </w:tcPr>
          <w:p w14:paraId="044A0BF3">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可自定义人工填报的台账模版所需的台账单项，为创建台账模版提供设计好的各字段单项</w:t>
            </w:r>
          </w:p>
          <w:p w14:paraId="6069FF9E">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内置电子表单生成器，提供表单组件、辅助组件、表单配置等功能，可灵活便捷的设计各种台账单项，以及单项属性</w:t>
            </w:r>
          </w:p>
          <w:p w14:paraId="6210E5AE">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台账单项列表，支持增删改查</w:t>
            </w:r>
          </w:p>
        </w:tc>
        <w:tc>
          <w:tcPr>
            <w:tcW w:w="1172" w:type="dxa"/>
            <w:noWrap w:val="0"/>
            <w:vAlign w:val="top"/>
          </w:tcPr>
          <w:p w14:paraId="472681DB">
            <w:pPr>
              <w:jc w:val="left"/>
              <w:rPr>
                <w:rFonts w:hint="eastAsia" w:ascii="宋体" w:hAnsi="宋体" w:cs="宋体"/>
                <w:color w:val="auto"/>
                <w:szCs w:val="21"/>
                <w:highlight w:val="none"/>
              </w:rPr>
            </w:pPr>
          </w:p>
        </w:tc>
      </w:tr>
      <w:tr w14:paraId="3D49D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0DBBEF1A">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56</w:t>
            </w:r>
          </w:p>
        </w:tc>
        <w:tc>
          <w:tcPr>
            <w:tcW w:w="781" w:type="dxa"/>
            <w:vMerge w:val="restart"/>
            <w:noWrap w:val="0"/>
            <w:vAlign w:val="center"/>
          </w:tcPr>
          <w:p w14:paraId="3CC980E2">
            <w:pPr>
              <w:rPr>
                <w:rFonts w:hint="eastAsia" w:ascii="宋体" w:hAnsi="宋体" w:cs="宋体"/>
                <w:color w:val="auto"/>
                <w:szCs w:val="21"/>
                <w:highlight w:val="none"/>
              </w:rPr>
            </w:pPr>
            <w:r>
              <w:rPr>
                <w:rFonts w:hint="eastAsia" w:ascii="宋体" w:hAnsi="宋体" w:cs="宋体"/>
                <w:color w:val="auto"/>
                <w:szCs w:val="21"/>
                <w:highlight w:val="none"/>
              </w:rPr>
              <w:t>综合配置</w:t>
            </w:r>
          </w:p>
        </w:tc>
        <w:tc>
          <w:tcPr>
            <w:tcW w:w="824" w:type="dxa"/>
            <w:gridSpan w:val="2"/>
            <w:noWrap w:val="0"/>
            <w:vAlign w:val="center"/>
          </w:tcPr>
          <w:p w14:paraId="315D0D7F">
            <w:pPr>
              <w:widowControl/>
              <w:rPr>
                <w:rFonts w:hint="eastAsia" w:ascii="宋体" w:hAnsi="宋体" w:cs="宋体"/>
                <w:color w:val="auto"/>
                <w:szCs w:val="21"/>
                <w:highlight w:val="none"/>
              </w:rPr>
            </w:pPr>
            <w:r>
              <w:rPr>
                <w:rFonts w:hint="eastAsia" w:ascii="宋体" w:hAnsi="宋体" w:cs="宋体"/>
                <w:color w:val="auto"/>
                <w:szCs w:val="21"/>
                <w:highlight w:val="none"/>
              </w:rPr>
              <w:t>评审工作设置</w:t>
            </w:r>
          </w:p>
        </w:tc>
        <w:tc>
          <w:tcPr>
            <w:tcW w:w="5214" w:type="dxa"/>
            <w:noWrap w:val="0"/>
            <w:vAlign w:val="center"/>
          </w:tcPr>
          <w:p w14:paraId="2F9DABDB">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支持评审标准条款、前置条款导入</w:t>
            </w:r>
          </w:p>
          <w:p w14:paraId="278926CC">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支持设置评审模式，多种评审模式和打分方式，可按照医院实际情况进行配置调控</w:t>
            </w:r>
          </w:p>
          <w:p w14:paraId="3CC3EAF7">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支持不适用医院的条款隐藏，不进行评审</w:t>
            </w:r>
          </w:p>
          <w:p w14:paraId="194F914D">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支持条款分值预制</w:t>
            </w:r>
          </w:p>
          <w:p w14:paraId="3C29BD74">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支持支撑材料模板导入</w:t>
            </w:r>
          </w:p>
          <w:p w14:paraId="45EDF4FF">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支持条款分配解除人员设置</w:t>
            </w:r>
          </w:p>
        </w:tc>
        <w:tc>
          <w:tcPr>
            <w:tcW w:w="1172" w:type="dxa"/>
            <w:noWrap w:val="0"/>
            <w:vAlign w:val="top"/>
          </w:tcPr>
          <w:p w14:paraId="7514B2DF">
            <w:pPr>
              <w:jc w:val="left"/>
              <w:rPr>
                <w:rFonts w:hint="eastAsia" w:ascii="宋体" w:hAnsi="宋体" w:cs="宋体"/>
                <w:color w:val="auto"/>
                <w:szCs w:val="21"/>
                <w:highlight w:val="none"/>
              </w:rPr>
            </w:pPr>
          </w:p>
        </w:tc>
      </w:tr>
      <w:tr w14:paraId="040ED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A8924AC">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57</w:t>
            </w:r>
          </w:p>
        </w:tc>
        <w:tc>
          <w:tcPr>
            <w:tcW w:w="781" w:type="dxa"/>
            <w:vMerge w:val="continue"/>
            <w:noWrap w:val="0"/>
            <w:vAlign w:val="center"/>
          </w:tcPr>
          <w:p w14:paraId="514DA260">
            <w:pPr>
              <w:rPr>
                <w:rFonts w:hint="eastAsia" w:ascii="宋体" w:hAnsi="宋体" w:cs="宋体"/>
                <w:color w:val="auto"/>
                <w:szCs w:val="21"/>
                <w:highlight w:val="none"/>
              </w:rPr>
            </w:pPr>
          </w:p>
        </w:tc>
        <w:tc>
          <w:tcPr>
            <w:tcW w:w="824" w:type="dxa"/>
            <w:gridSpan w:val="2"/>
            <w:noWrap w:val="0"/>
            <w:vAlign w:val="center"/>
          </w:tcPr>
          <w:p w14:paraId="7C888B1E">
            <w:pPr>
              <w:widowControl/>
              <w:rPr>
                <w:rFonts w:hint="eastAsia" w:ascii="宋体" w:hAnsi="宋体" w:cs="宋体"/>
                <w:color w:val="auto"/>
                <w:szCs w:val="21"/>
                <w:highlight w:val="none"/>
              </w:rPr>
            </w:pPr>
            <w:r>
              <w:rPr>
                <w:rFonts w:hint="eastAsia" w:ascii="宋体" w:hAnsi="宋体" w:cs="宋体"/>
                <w:color w:val="auto"/>
                <w:szCs w:val="21"/>
                <w:highlight w:val="none"/>
              </w:rPr>
              <w:t>菜单管理</w:t>
            </w:r>
          </w:p>
        </w:tc>
        <w:tc>
          <w:tcPr>
            <w:tcW w:w="5214" w:type="dxa"/>
            <w:noWrap w:val="0"/>
            <w:vAlign w:val="center"/>
          </w:tcPr>
          <w:p w14:paraId="40F56E8E">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支持系统菜单名称、图标、路径、显示顺序等维护管理</w:t>
            </w:r>
          </w:p>
          <w:p w14:paraId="03D183F2">
            <w:pPr>
              <w:widowControl/>
              <w:rPr>
                <w:rFonts w:hint="eastAsia" w:ascii="宋体" w:hAnsi="宋体" w:cs="宋体"/>
                <w:color w:val="auto"/>
                <w:szCs w:val="21"/>
                <w:highlight w:val="none"/>
                <w:lang w:eastAsia="zh-Hans"/>
              </w:rPr>
            </w:pPr>
            <w:r>
              <w:rPr>
                <w:rFonts w:hint="eastAsia" w:ascii="宋体" w:hAnsi="宋体" w:cs="宋体"/>
                <w:color w:val="auto"/>
                <w:szCs w:val="21"/>
                <w:highlight w:val="none"/>
                <w:lang w:eastAsia="zh-Hans"/>
              </w:rPr>
              <w:t>可根据医院需求，自定义设置菜单名称、菜单顺序</w:t>
            </w:r>
          </w:p>
        </w:tc>
        <w:tc>
          <w:tcPr>
            <w:tcW w:w="1172" w:type="dxa"/>
            <w:noWrap w:val="0"/>
            <w:vAlign w:val="top"/>
          </w:tcPr>
          <w:p w14:paraId="36C20FBC">
            <w:pPr>
              <w:jc w:val="left"/>
              <w:rPr>
                <w:rFonts w:hint="eastAsia" w:ascii="宋体" w:hAnsi="宋体" w:cs="宋体"/>
                <w:color w:val="auto"/>
                <w:szCs w:val="21"/>
                <w:highlight w:val="none"/>
              </w:rPr>
            </w:pPr>
          </w:p>
        </w:tc>
      </w:tr>
      <w:tr w14:paraId="64D95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1261CB82">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58</w:t>
            </w:r>
          </w:p>
        </w:tc>
        <w:tc>
          <w:tcPr>
            <w:tcW w:w="781" w:type="dxa"/>
            <w:vMerge w:val="continue"/>
            <w:noWrap w:val="0"/>
            <w:vAlign w:val="center"/>
          </w:tcPr>
          <w:p w14:paraId="137C9257">
            <w:pPr>
              <w:rPr>
                <w:rFonts w:hint="eastAsia" w:ascii="宋体" w:hAnsi="宋体" w:cs="宋体"/>
                <w:color w:val="auto"/>
                <w:szCs w:val="21"/>
                <w:highlight w:val="none"/>
              </w:rPr>
            </w:pPr>
          </w:p>
        </w:tc>
        <w:tc>
          <w:tcPr>
            <w:tcW w:w="824" w:type="dxa"/>
            <w:gridSpan w:val="2"/>
            <w:noWrap w:val="0"/>
            <w:vAlign w:val="center"/>
          </w:tcPr>
          <w:p w14:paraId="6636FE32">
            <w:pPr>
              <w:widowControl/>
              <w:rPr>
                <w:rFonts w:hint="eastAsia" w:ascii="宋体" w:hAnsi="宋体" w:cs="宋体"/>
                <w:color w:val="auto"/>
                <w:szCs w:val="21"/>
                <w:highlight w:val="none"/>
              </w:rPr>
            </w:pPr>
            <w:r>
              <w:rPr>
                <w:rFonts w:hint="eastAsia" w:ascii="宋体" w:hAnsi="宋体" w:cs="宋体"/>
                <w:color w:val="auto"/>
                <w:szCs w:val="21"/>
                <w:highlight w:val="none"/>
              </w:rPr>
              <w:t>▲系统归档及备份</w:t>
            </w:r>
          </w:p>
        </w:tc>
        <w:tc>
          <w:tcPr>
            <w:tcW w:w="5214" w:type="dxa"/>
            <w:noWrap w:val="0"/>
            <w:vAlign w:val="center"/>
          </w:tcPr>
          <w:p w14:paraId="575895BD">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具有数据备份及还原功能</w:t>
            </w:r>
          </w:p>
          <w:p w14:paraId="6590E724">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支持下载备份文件</w:t>
            </w:r>
          </w:p>
          <w:p w14:paraId="0613A423">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支持立即备份整个系统</w:t>
            </w:r>
          </w:p>
          <w:p w14:paraId="62856045">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支持自定义周期性自动备份</w:t>
            </w:r>
          </w:p>
          <w:p w14:paraId="05A84320">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支持数据归档和固化功能</w:t>
            </w:r>
          </w:p>
        </w:tc>
        <w:tc>
          <w:tcPr>
            <w:tcW w:w="1172" w:type="dxa"/>
            <w:noWrap w:val="0"/>
            <w:vAlign w:val="top"/>
          </w:tcPr>
          <w:p w14:paraId="29713014">
            <w:pPr>
              <w:jc w:val="left"/>
              <w:rPr>
                <w:rFonts w:hint="eastAsia" w:ascii="宋体" w:hAnsi="宋体" w:cs="宋体"/>
                <w:color w:val="auto"/>
                <w:szCs w:val="21"/>
                <w:highlight w:val="none"/>
              </w:rPr>
            </w:pPr>
          </w:p>
        </w:tc>
      </w:tr>
      <w:tr w14:paraId="729CA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7367510D">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59</w:t>
            </w:r>
          </w:p>
        </w:tc>
        <w:tc>
          <w:tcPr>
            <w:tcW w:w="781" w:type="dxa"/>
            <w:noWrap w:val="0"/>
            <w:vAlign w:val="center"/>
          </w:tcPr>
          <w:p w14:paraId="4F4E50B5">
            <w:pPr>
              <w:rPr>
                <w:rFonts w:hint="eastAsia" w:ascii="宋体" w:hAnsi="宋体" w:cs="宋体"/>
                <w:color w:val="auto"/>
                <w:szCs w:val="21"/>
                <w:highlight w:val="none"/>
              </w:rPr>
            </w:pPr>
            <w:r>
              <w:rPr>
                <w:rFonts w:hint="eastAsia" w:ascii="宋体" w:hAnsi="宋体" w:cs="宋体"/>
                <w:color w:val="auto"/>
                <w:szCs w:val="21"/>
                <w:highlight w:val="none"/>
              </w:rPr>
              <w:t>整改管理</w:t>
            </w:r>
          </w:p>
        </w:tc>
        <w:tc>
          <w:tcPr>
            <w:tcW w:w="824" w:type="dxa"/>
            <w:gridSpan w:val="2"/>
            <w:noWrap w:val="0"/>
            <w:vAlign w:val="center"/>
          </w:tcPr>
          <w:p w14:paraId="21C85A1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整改任务管理</w:t>
            </w:r>
          </w:p>
        </w:tc>
        <w:tc>
          <w:tcPr>
            <w:tcW w:w="5214" w:type="dxa"/>
            <w:noWrap w:val="0"/>
            <w:vAlign w:val="center"/>
          </w:tcPr>
          <w:p w14:paraId="470BD0E5">
            <w:pPr>
              <w:widowControl/>
              <w:jc w:val="left"/>
              <w:textAlignment w:val="center"/>
              <w:rPr>
                <w:rFonts w:hint="eastAsia" w:ascii="宋体" w:hAnsi="宋体" w:cs="宋体"/>
                <w:color w:val="auto"/>
                <w:kern w:val="0"/>
                <w:szCs w:val="21"/>
                <w:highlight w:val="none"/>
                <w:lang w:eastAsia="zh-CN" w:bidi="ar"/>
              </w:rPr>
            </w:pPr>
            <w:r>
              <w:rPr>
                <w:rFonts w:hint="eastAsia" w:ascii="宋体" w:hAnsi="宋体" w:cs="宋体"/>
                <w:color w:val="auto"/>
                <w:kern w:val="0"/>
                <w:szCs w:val="21"/>
                <w:highlight w:val="none"/>
                <w:lang w:bidi="ar"/>
              </w:rPr>
              <w:t>整改任务管理功能，提供对数据质量问题跟踪管理的能力，数据质量问题暴露后，记录问题情况、问题风险、问题负责人并创建跟踪任务，持续关注问题的解决情况，让数据质量问题形成PDCA的闭环管理，保障数据质量。</w:t>
            </w:r>
          </w:p>
        </w:tc>
        <w:tc>
          <w:tcPr>
            <w:tcW w:w="1172" w:type="dxa"/>
            <w:noWrap w:val="0"/>
            <w:vAlign w:val="top"/>
          </w:tcPr>
          <w:p w14:paraId="0EA7E26E">
            <w:pPr>
              <w:jc w:val="left"/>
              <w:rPr>
                <w:rFonts w:hint="eastAsia" w:ascii="宋体" w:hAnsi="宋体" w:cs="宋体"/>
                <w:color w:val="auto"/>
                <w:szCs w:val="21"/>
                <w:highlight w:val="none"/>
              </w:rPr>
            </w:pPr>
          </w:p>
        </w:tc>
      </w:tr>
      <w:tr w14:paraId="6BC1F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76E70083">
            <w:pPr>
              <w:widowControl/>
              <w:jc w:val="righ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60</w:t>
            </w:r>
          </w:p>
        </w:tc>
        <w:tc>
          <w:tcPr>
            <w:tcW w:w="781" w:type="dxa"/>
            <w:vMerge w:val="restart"/>
            <w:noWrap w:val="0"/>
            <w:vAlign w:val="center"/>
          </w:tcPr>
          <w:p w14:paraId="576408ED">
            <w:pPr>
              <w:widowControl/>
              <w:rPr>
                <w:rFonts w:hint="eastAsia" w:ascii="宋体" w:hAnsi="宋体" w:cs="宋体"/>
                <w:color w:val="auto"/>
                <w:szCs w:val="21"/>
                <w:highlight w:val="none"/>
              </w:rPr>
            </w:pPr>
            <w:r>
              <w:rPr>
                <w:rFonts w:hint="eastAsia" w:ascii="宋体" w:hAnsi="宋体" w:cs="宋体"/>
                <w:color w:val="auto"/>
                <w:szCs w:val="21"/>
                <w:highlight w:val="none"/>
              </w:rPr>
              <w:t>评分管理</w:t>
            </w:r>
          </w:p>
        </w:tc>
        <w:tc>
          <w:tcPr>
            <w:tcW w:w="824" w:type="dxa"/>
            <w:gridSpan w:val="2"/>
            <w:noWrap w:val="0"/>
            <w:vAlign w:val="center"/>
          </w:tcPr>
          <w:p w14:paraId="4A85BD44">
            <w:pPr>
              <w:widowControl/>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等次分值配置</w:t>
            </w:r>
          </w:p>
        </w:tc>
        <w:tc>
          <w:tcPr>
            <w:tcW w:w="5214" w:type="dxa"/>
            <w:noWrap w:val="0"/>
            <w:vAlign w:val="top"/>
          </w:tcPr>
          <w:p w14:paraId="3840FE2C">
            <w:pPr>
              <w:widowControl/>
              <w:rPr>
                <w:rFonts w:hint="eastAsia" w:ascii="宋体" w:hAnsi="宋体" w:cs="宋体"/>
                <w:color w:val="auto"/>
                <w:kern w:val="0"/>
                <w:szCs w:val="21"/>
                <w:highlight w:val="none"/>
                <w:lang w:bidi="ar"/>
              </w:rPr>
            </w:pPr>
            <w:r>
              <w:rPr>
                <w:rFonts w:hint="eastAsia" w:ascii="宋体" w:hAnsi="宋体" w:cs="宋体"/>
                <w:color w:val="auto"/>
                <w:szCs w:val="21"/>
                <w:highlight w:val="none"/>
              </w:rPr>
              <w:t>支持依照医院达标等次分值预设等次以及对应分值；支持分值修改。</w:t>
            </w:r>
          </w:p>
        </w:tc>
        <w:tc>
          <w:tcPr>
            <w:tcW w:w="1172" w:type="dxa"/>
            <w:noWrap w:val="0"/>
            <w:vAlign w:val="center"/>
          </w:tcPr>
          <w:p w14:paraId="3FBF643C">
            <w:pPr>
              <w:widowControl/>
              <w:jc w:val="left"/>
              <w:textAlignment w:val="center"/>
              <w:rPr>
                <w:rFonts w:hint="eastAsia" w:ascii="宋体" w:hAnsi="宋体" w:cs="宋体"/>
                <w:color w:val="auto"/>
                <w:kern w:val="0"/>
                <w:szCs w:val="21"/>
                <w:highlight w:val="none"/>
                <w:lang w:bidi="ar"/>
              </w:rPr>
            </w:pPr>
          </w:p>
        </w:tc>
      </w:tr>
      <w:tr w14:paraId="5AEC7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2522794">
            <w:pPr>
              <w:widowControl/>
              <w:jc w:val="righ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61</w:t>
            </w:r>
          </w:p>
        </w:tc>
        <w:tc>
          <w:tcPr>
            <w:tcW w:w="781" w:type="dxa"/>
            <w:vMerge w:val="continue"/>
            <w:noWrap w:val="0"/>
            <w:vAlign w:val="center"/>
          </w:tcPr>
          <w:p w14:paraId="34A99A27">
            <w:pPr>
              <w:widowControl/>
              <w:rPr>
                <w:rFonts w:hint="eastAsia" w:ascii="宋体" w:hAnsi="宋体" w:cs="宋体"/>
                <w:color w:val="auto"/>
                <w:szCs w:val="21"/>
                <w:highlight w:val="none"/>
              </w:rPr>
            </w:pPr>
          </w:p>
        </w:tc>
        <w:tc>
          <w:tcPr>
            <w:tcW w:w="824" w:type="dxa"/>
            <w:gridSpan w:val="2"/>
            <w:noWrap w:val="0"/>
            <w:vAlign w:val="center"/>
          </w:tcPr>
          <w:p w14:paraId="4335CCC6">
            <w:pPr>
              <w:widowControl/>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评分规则配置</w:t>
            </w:r>
          </w:p>
        </w:tc>
        <w:tc>
          <w:tcPr>
            <w:tcW w:w="5214" w:type="dxa"/>
            <w:noWrap w:val="0"/>
            <w:vAlign w:val="top"/>
          </w:tcPr>
          <w:p w14:paraId="42CA7939">
            <w:pPr>
              <w:numPr>
                <w:ilvl w:val="0"/>
                <w:numId w:val="0"/>
              </w:numPr>
              <w:ind w:left="0" w:firstLine="0"/>
              <w:rPr>
                <w:rFonts w:hint="eastAsia" w:ascii="宋体" w:hAnsi="宋体" w:cs="宋体"/>
                <w:color w:val="auto"/>
                <w:szCs w:val="21"/>
                <w:highlight w:val="none"/>
              </w:rPr>
            </w:pPr>
            <w:r>
              <w:rPr>
                <w:rFonts w:hint="eastAsia" w:ascii="宋体" w:hAnsi="宋体" w:cs="宋体"/>
                <w:color w:val="auto"/>
                <w:szCs w:val="21"/>
                <w:highlight w:val="none"/>
              </w:rPr>
              <w:t>支持录入评分规则。</w:t>
            </w:r>
          </w:p>
          <w:p w14:paraId="4BCEF2A2">
            <w:pPr>
              <w:pStyle w:val="24"/>
              <w:numPr>
                <w:ilvl w:val="0"/>
                <w:numId w:val="0"/>
              </w:numPr>
              <w:ind w:left="0" w:firstLine="0"/>
              <w:rPr>
                <w:rFonts w:hint="eastAsia" w:hAnsi="宋体" w:cs="宋体"/>
                <w:color w:val="auto"/>
                <w:szCs w:val="21"/>
                <w:highlight w:val="none"/>
              </w:rPr>
            </w:pPr>
            <w:r>
              <w:rPr>
                <w:rFonts w:hint="eastAsia" w:hAnsi="宋体" w:cs="宋体"/>
                <w:color w:val="auto"/>
                <w:szCs w:val="21"/>
                <w:highlight w:val="none"/>
              </w:rPr>
              <w:t>支持多种评分规则配置，如逐步升高、逐步下降、持平等。</w:t>
            </w:r>
          </w:p>
          <w:p w14:paraId="495175EE">
            <w:pPr>
              <w:pStyle w:val="24"/>
              <w:numPr>
                <w:ilvl w:val="0"/>
                <w:numId w:val="0"/>
              </w:numPr>
              <w:ind w:left="0" w:firstLine="0"/>
              <w:rPr>
                <w:rFonts w:hint="eastAsia" w:hAnsi="宋体" w:cs="宋体"/>
                <w:color w:val="auto"/>
                <w:szCs w:val="21"/>
                <w:highlight w:val="none"/>
              </w:rPr>
            </w:pPr>
            <w:r>
              <w:rPr>
                <w:rFonts w:hint="eastAsia" w:hAnsi="宋体" w:cs="宋体"/>
                <w:color w:val="auto"/>
                <w:szCs w:val="21"/>
                <w:highlight w:val="none"/>
              </w:rPr>
              <w:t>支持多种参数对比，如平均数、中位</w:t>
            </w:r>
            <w:r>
              <w:rPr>
                <w:rFonts w:hint="eastAsia" w:hAnsi="宋体" w:cs="宋体"/>
                <w:color w:val="auto"/>
                <w:szCs w:val="21"/>
                <w:highlight w:val="none"/>
                <w:lang w:val="en-US" w:eastAsia="zh-CN"/>
              </w:rPr>
              <w:t>值</w:t>
            </w:r>
            <w:r>
              <w:rPr>
                <w:rFonts w:hint="eastAsia" w:hAnsi="宋体" w:cs="宋体"/>
                <w:color w:val="auto"/>
                <w:szCs w:val="21"/>
                <w:highlight w:val="none"/>
              </w:rPr>
              <w:t>、四年数据、引用指标。</w:t>
            </w:r>
          </w:p>
          <w:p w14:paraId="1E8A4BC3">
            <w:pPr>
              <w:widowControl/>
              <w:rPr>
                <w:rFonts w:hint="eastAsia" w:ascii="宋体" w:hAnsi="宋体" w:cs="宋体"/>
                <w:color w:val="auto"/>
                <w:kern w:val="0"/>
                <w:szCs w:val="21"/>
                <w:highlight w:val="none"/>
                <w:lang w:bidi="ar"/>
              </w:rPr>
            </w:pPr>
            <w:r>
              <w:rPr>
                <w:rFonts w:hint="eastAsia" w:ascii="宋体" w:hAnsi="宋体" w:cs="宋体"/>
                <w:color w:val="auto"/>
                <w:szCs w:val="21"/>
                <w:highlight w:val="none"/>
              </w:rPr>
              <w:t>支持采用表达式引擎配置规则，且可配置率达98%以上。</w:t>
            </w:r>
          </w:p>
        </w:tc>
        <w:tc>
          <w:tcPr>
            <w:tcW w:w="1172" w:type="dxa"/>
            <w:noWrap w:val="0"/>
            <w:vAlign w:val="center"/>
          </w:tcPr>
          <w:p w14:paraId="35DB2821">
            <w:pPr>
              <w:widowControl/>
              <w:jc w:val="left"/>
              <w:textAlignment w:val="center"/>
              <w:rPr>
                <w:rFonts w:hint="eastAsia" w:ascii="宋体" w:hAnsi="宋体" w:cs="宋体"/>
                <w:color w:val="auto"/>
                <w:kern w:val="0"/>
                <w:szCs w:val="21"/>
                <w:highlight w:val="none"/>
                <w:lang w:bidi="ar"/>
              </w:rPr>
            </w:pPr>
          </w:p>
        </w:tc>
      </w:tr>
      <w:tr w14:paraId="17A93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A79D40D">
            <w:pPr>
              <w:widowControl/>
              <w:jc w:val="righ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62</w:t>
            </w:r>
          </w:p>
        </w:tc>
        <w:tc>
          <w:tcPr>
            <w:tcW w:w="781" w:type="dxa"/>
            <w:vMerge w:val="continue"/>
            <w:noWrap w:val="0"/>
            <w:vAlign w:val="center"/>
          </w:tcPr>
          <w:p w14:paraId="1EE7B111">
            <w:pPr>
              <w:widowControl/>
              <w:rPr>
                <w:rFonts w:hint="eastAsia" w:ascii="宋体" w:hAnsi="宋体" w:cs="宋体"/>
                <w:color w:val="auto"/>
                <w:szCs w:val="21"/>
                <w:highlight w:val="none"/>
              </w:rPr>
            </w:pPr>
          </w:p>
        </w:tc>
        <w:tc>
          <w:tcPr>
            <w:tcW w:w="824" w:type="dxa"/>
            <w:gridSpan w:val="2"/>
            <w:noWrap w:val="0"/>
            <w:vAlign w:val="center"/>
          </w:tcPr>
          <w:p w14:paraId="1FBECAAC">
            <w:pPr>
              <w:widowControl/>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评分对比值录入</w:t>
            </w:r>
          </w:p>
        </w:tc>
        <w:tc>
          <w:tcPr>
            <w:tcW w:w="5214" w:type="dxa"/>
            <w:noWrap w:val="0"/>
            <w:vAlign w:val="top"/>
          </w:tcPr>
          <w:p w14:paraId="28303258">
            <w:pPr>
              <w:numPr>
                <w:ilvl w:val="0"/>
                <w:numId w:val="0"/>
              </w:numPr>
              <w:rPr>
                <w:rFonts w:hint="eastAsia" w:ascii="宋体" w:hAnsi="宋体" w:cs="宋体"/>
                <w:color w:val="auto"/>
                <w:szCs w:val="21"/>
                <w:highlight w:val="none"/>
              </w:rPr>
            </w:pPr>
            <w:r>
              <w:rPr>
                <w:rFonts w:hint="eastAsia" w:ascii="宋体" w:hAnsi="宋体" w:cs="宋体"/>
                <w:color w:val="auto"/>
                <w:szCs w:val="21"/>
                <w:highlight w:val="none"/>
              </w:rPr>
              <w:t>支持对比院外数据，提供数据录入；</w:t>
            </w:r>
          </w:p>
          <w:p w14:paraId="01DD30AB">
            <w:pPr>
              <w:widowControl/>
              <w:rPr>
                <w:rFonts w:hint="eastAsia" w:ascii="宋体" w:hAnsi="宋体" w:cs="宋体"/>
                <w:color w:val="auto"/>
                <w:kern w:val="0"/>
                <w:szCs w:val="21"/>
                <w:highlight w:val="none"/>
                <w:lang w:bidi="ar"/>
              </w:rPr>
            </w:pPr>
            <w:r>
              <w:rPr>
                <w:rFonts w:hint="eastAsia" w:ascii="宋体" w:hAnsi="宋体" w:cs="宋体"/>
                <w:color w:val="auto"/>
                <w:szCs w:val="21"/>
                <w:highlight w:val="none"/>
              </w:rPr>
              <w:t>支持手工录入，包含二十分位、五十分位、八十分位、平均值。</w:t>
            </w:r>
          </w:p>
        </w:tc>
        <w:tc>
          <w:tcPr>
            <w:tcW w:w="1172" w:type="dxa"/>
            <w:noWrap w:val="0"/>
            <w:vAlign w:val="center"/>
          </w:tcPr>
          <w:p w14:paraId="45678475">
            <w:pPr>
              <w:widowControl/>
              <w:jc w:val="left"/>
              <w:textAlignment w:val="center"/>
              <w:rPr>
                <w:rFonts w:hint="eastAsia" w:ascii="宋体" w:hAnsi="宋体" w:cs="宋体"/>
                <w:color w:val="auto"/>
                <w:kern w:val="0"/>
                <w:szCs w:val="21"/>
                <w:highlight w:val="none"/>
                <w:lang w:bidi="ar"/>
              </w:rPr>
            </w:pPr>
          </w:p>
        </w:tc>
      </w:tr>
      <w:tr w14:paraId="5D5F4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48C38089">
            <w:pPr>
              <w:widowControl/>
              <w:jc w:val="righ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63</w:t>
            </w:r>
          </w:p>
        </w:tc>
        <w:tc>
          <w:tcPr>
            <w:tcW w:w="781" w:type="dxa"/>
            <w:vMerge w:val="continue"/>
            <w:noWrap w:val="0"/>
            <w:vAlign w:val="center"/>
          </w:tcPr>
          <w:p w14:paraId="772516A1">
            <w:pPr>
              <w:widowControl/>
              <w:rPr>
                <w:rFonts w:hint="eastAsia" w:ascii="宋体" w:hAnsi="宋体" w:cs="宋体"/>
                <w:color w:val="auto"/>
                <w:szCs w:val="21"/>
                <w:highlight w:val="none"/>
              </w:rPr>
            </w:pPr>
          </w:p>
        </w:tc>
        <w:tc>
          <w:tcPr>
            <w:tcW w:w="824" w:type="dxa"/>
            <w:gridSpan w:val="2"/>
            <w:noWrap w:val="0"/>
            <w:vAlign w:val="center"/>
          </w:tcPr>
          <w:p w14:paraId="6A5603F8">
            <w:pPr>
              <w:widowControl/>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评分手动录入</w:t>
            </w:r>
          </w:p>
        </w:tc>
        <w:tc>
          <w:tcPr>
            <w:tcW w:w="5214" w:type="dxa"/>
            <w:noWrap w:val="0"/>
            <w:vAlign w:val="top"/>
          </w:tcPr>
          <w:p w14:paraId="5296C25B">
            <w:pPr>
              <w:widowControl/>
              <w:rPr>
                <w:rFonts w:hint="eastAsia" w:ascii="宋体" w:hAnsi="宋体" w:cs="宋体"/>
                <w:color w:val="auto"/>
                <w:kern w:val="0"/>
                <w:szCs w:val="21"/>
                <w:highlight w:val="none"/>
                <w:lang w:bidi="ar"/>
              </w:rPr>
            </w:pPr>
            <w:r>
              <w:rPr>
                <w:rFonts w:hint="eastAsia" w:ascii="宋体" w:hAnsi="宋体" w:cs="宋体"/>
                <w:color w:val="auto"/>
                <w:szCs w:val="21"/>
                <w:highlight w:val="none"/>
              </w:rPr>
              <w:t>支持针对指标数据手动评分。</w:t>
            </w:r>
          </w:p>
        </w:tc>
        <w:tc>
          <w:tcPr>
            <w:tcW w:w="1172" w:type="dxa"/>
            <w:noWrap w:val="0"/>
            <w:vAlign w:val="center"/>
          </w:tcPr>
          <w:p w14:paraId="25E6DD8E">
            <w:pPr>
              <w:widowControl/>
              <w:jc w:val="left"/>
              <w:textAlignment w:val="center"/>
              <w:rPr>
                <w:rFonts w:hint="eastAsia" w:ascii="宋体" w:hAnsi="宋体" w:cs="宋体"/>
                <w:color w:val="auto"/>
                <w:kern w:val="0"/>
                <w:szCs w:val="21"/>
                <w:highlight w:val="none"/>
                <w:lang w:bidi="ar"/>
              </w:rPr>
            </w:pPr>
          </w:p>
        </w:tc>
      </w:tr>
      <w:tr w14:paraId="53ED1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48D475AE">
            <w:pPr>
              <w:widowControl/>
              <w:jc w:val="righ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64</w:t>
            </w:r>
          </w:p>
        </w:tc>
        <w:tc>
          <w:tcPr>
            <w:tcW w:w="781" w:type="dxa"/>
            <w:vMerge w:val="continue"/>
            <w:noWrap w:val="0"/>
            <w:vAlign w:val="center"/>
          </w:tcPr>
          <w:p w14:paraId="2A6702C1">
            <w:pPr>
              <w:widowControl/>
              <w:rPr>
                <w:rFonts w:hint="eastAsia" w:ascii="宋体" w:hAnsi="宋体" w:cs="宋体"/>
                <w:color w:val="auto"/>
                <w:szCs w:val="21"/>
                <w:highlight w:val="none"/>
              </w:rPr>
            </w:pPr>
          </w:p>
        </w:tc>
        <w:tc>
          <w:tcPr>
            <w:tcW w:w="824" w:type="dxa"/>
            <w:gridSpan w:val="2"/>
            <w:noWrap w:val="0"/>
            <w:vAlign w:val="center"/>
          </w:tcPr>
          <w:p w14:paraId="4604B32E">
            <w:pPr>
              <w:widowControl/>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得分分布统计</w:t>
            </w:r>
          </w:p>
        </w:tc>
        <w:tc>
          <w:tcPr>
            <w:tcW w:w="5214" w:type="dxa"/>
            <w:noWrap w:val="0"/>
            <w:vAlign w:val="top"/>
          </w:tcPr>
          <w:p w14:paraId="6DC9399E">
            <w:pPr>
              <w:numPr>
                <w:ilvl w:val="0"/>
                <w:numId w:val="0"/>
              </w:numPr>
              <w:rPr>
                <w:rFonts w:hint="eastAsia" w:ascii="宋体" w:hAnsi="宋体" w:eastAsia="宋体" w:cs="宋体"/>
                <w:color w:val="auto"/>
                <w:kern w:val="2"/>
                <w:szCs w:val="21"/>
                <w:highlight w:val="none"/>
                <w:lang w:bidi="ar"/>
              </w:rPr>
            </w:pPr>
            <w:r>
              <w:rPr>
                <w:rFonts w:hint="default" w:ascii="宋体" w:hAnsi="宋体" w:eastAsia="宋体" w:cs="宋体"/>
                <w:color w:val="auto"/>
                <w:kern w:val="2"/>
                <w:szCs w:val="21"/>
                <w:highlight w:val="none"/>
              </w:rPr>
              <w:t>汇总显示指标总个数、总得分、自动取数个数、自动取数得分、手工填报个数、手工填报得分、得满分个数、得满分总分、未得满分个数、未得满分总分、未得分个数。</w:t>
            </w:r>
          </w:p>
        </w:tc>
        <w:tc>
          <w:tcPr>
            <w:tcW w:w="1172" w:type="dxa"/>
            <w:noWrap w:val="0"/>
            <w:vAlign w:val="center"/>
          </w:tcPr>
          <w:p w14:paraId="49FE5CEF">
            <w:pPr>
              <w:widowControl/>
              <w:jc w:val="left"/>
              <w:textAlignment w:val="center"/>
              <w:rPr>
                <w:rFonts w:hint="default" w:ascii="宋体" w:hAnsi="宋体" w:eastAsia="宋体" w:cs="宋体"/>
                <w:color w:val="auto"/>
                <w:kern w:val="0"/>
                <w:szCs w:val="21"/>
                <w:highlight w:val="none"/>
                <w:lang w:val="en-US" w:eastAsia="zh-CN" w:bidi="ar"/>
              </w:rPr>
            </w:pPr>
          </w:p>
        </w:tc>
      </w:tr>
      <w:tr w14:paraId="3AB6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1DDDED8A">
            <w:pPr>
              <w:widowControl/>
              <w:jc w:val="right"/>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65</w:t>
            </w:r>
          </w:p>
        </w:tc>
        <w:tc>
          <w:tcPr>
            <w:tcW w:w="781" w:type="dxa"/>
            <w:vMerge w:val="continue"/>
            <w:noWrap w:val="0"/>
            <w:vAlign w:val="center"/>
          </w:tcPr>
          <w:p w14:paraId="43653A4F">
            <w:pPr>
              <w:widowControl/>
              <w:rPr>
                <w:rFonts w:hint="eastAsia" w:ascii="宋体" w:hAnsi="宋体" w:cs="宋体"/>
                <w:color w:val="auto"/>
                <w:szCs w:val="21"/>
                <w:highlight w:val="none"/>
              </w:rPr>
            </w:pPr>
          </w:p>
        </w:tc>
        <w:tc>
          <w:tcPr>
            <w:tcW w:w="824" w:type="dxa"/>
            <w:gridSpan w:val="2"/>
            <w:noWrap w:val="0"/>
            <w:vAlign w:val="center"/>
          </w:tcPr>
          <w:p w14:paraId="3A6FC04A">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得分展示</w:t>
            </w:r>
          </w:p>
        </w:tc>
        <w:tc>
          <w:tcPr>
            <w:tcW w:w="5214" w:type="dxa"/>
            <w:noWrap w:val="0"/>
            <w:vAlign w:val="top"/>
          </w:tcPr>
          <w:p w14:paraId="52581D14">
            <w:pPr>
              <w:widowControl/>
              <w:rPr>
                <w:rFonts w:hint="eastAsia" w:ascii="宋体" w:hAnsi="宋体" w:cs="宋体"/>
                <w:color w:val="auto"/>
                <w:kern w:val="0"/>
                <w:szCs w:val="21"/>
                <w:highlight w:val="none"/>
              </w:rPr>
            </w:pPr>
            <w:r>
              <w:rPr>
                <w:rFonts w:hint="eastAsia" w:ascii="宋体" w:hAnsi="宋体" w:cs="宋体"/>
                <w:color w:val="auto"/>
                <w:kern w:val="0"/>
                <w:szCs w:val="21"/>
                <w:highlight w:val="none"/>
              </w:rPr>
              <w:t>以列表形式展示各章节指标总个数、总得分、自动取数个数、自动取数得分、手工填报个数、手工填报得分、得满分个数、得满分总分、未得满分个数、未得满分总分、未得分个数，并支持与上级联动。</w:t>
            </w:r>
          </w:p>
        </w:tc>
        <w:tc>
          <w:tcPr>
            <w:tcW w:w="1172" w:type="dxa"/>
            <w:noWrap w:val="0"/>
            <w:vAlign w:val="center"/>
          </w:tcPr>
          <w:p w14:paraId="60552428">
            <w:pPr>
              <w:widowControl/>
              <w:jc w:val="left"/>
              <w:textAlignment w:val="center"/>
              <w:rPr>
                <w:rFonts w:hint="eastAsia" w:ascii="宋体" w:hAnsi="宋体" w:cs="宋体"/>
                <w:color w:val="auto"/>
                <w:kern w:val="0"/>
                <w:szCs w:val="21"/>
                <w:highlight w:val="none"/>
                <w:lang w:bidi="ar"/>
              </w:rPr>
            </w:pPr>
          </w:p>
        </w:tc>
      </w:tr>
      <w:tr w14:paraId="14B7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771AB461">
            <w:pPr>
              <w:widowControl/>
              <w:jc w:val="righ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66</w:t>
            </w:r>
          </w:p>
        </w:tc>
        <w:tc>
          <w:tcPr>
            <w:tcW w:w="781" w:type="dxa"/>
            <w:vMerge w:val="continue"/>
            <w:noWrap w:val="0"/>
            <w:vAlign w:val="center"/>
          </w:tcPr>
          <w:p w14:paraId="7DE2546C">
            <w:pPr>
              <w:widowControl/>
              <w:rPr>
                <w:rFonts w:hint="eastAsia" w:ascii="宋体" w:hAnsi="宋体" w:cs="宋体"/>
                <w:color w:val="auto"/>
                <w:szCs w:val="21"/>
                <w:highlight w:val="none"/>
              </w:rPr>
            </w:pPr>
          </w:p>
        </w:tc>
        <w:tc>
          <w:tcPr>
            <w:tcW w:w="824" w:type="dxa"/>
            <w:gridSpan w:val="2"/>
            <w:noWrap w:val="0"/>
            <w:vAlign w:val="center"/>
          </w:tcPr>
          <w:p w14:paraId="6D481783">
            <w:pPr>
              <w:widowControl/>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指标得分汇总</w:t>
            </w:r>
          </w:p>
        </w:tc>
        <w:tc>
          <w:tcPr>
            <w:tcW w:w="5214" w:type="dxa"/>
            <w:noWrap w:val="0"/>
            <w:vAlign w:val="top"/>
          </w:tcPr>
          <w:p w14:paraId="5E73BC7E">
            <w:pPr>
              <w:widowControl/>
              <w:rPr>
                <w:rFonts w:hint="eastAsia" w:ascii="宋体" w:hAnsi="宋体" w:cs="宋体"/>
                <w:color w:val="auto"/>
                <w:kern w:val="0"/>
                <w:szCs w:val="21"/>
                <w:highlight w:val="none"/>
                <w:lang w:bidi="ar"/>
              </w:rPr>
            </w:pPr>
            <w:r>
              <w:rPr>
                <w:rFonts w:hint="eastAsia" w:ascii="宋体" w:hAnsi="宋体" w:cs="宋体"/>
                <w:color w:val="auto"/>
                <w:kern w:val="0"/>
                <w:szCs w:val="21"/>
                <w:highlight w:val="none"/>
              </w:rPr>
              <w:t>展示指标四年数据值、</w:t>
            </w:r>
            <w:r>
              <w:rPr>
                <w:rFonts w:hint="eastAsia" w:ascii="宋体" w:hAnsi="宋体" w:cs="宋体"/>
                <w:color w:val="auto"/>
                <w:szCs w:val="21"/>
                <w:highlight w:val="none"/>
              </w:rPr>
              <w:t>指标编码、指标名称、中位</w:t>
            </w:r>
            <w:r>
              <w:rPr>
                <w:rFonts w:hint="eastAsia" w:ascii="宋体" w:hAnsi="宋体" w:cs="宋体"/>
                <w:color w:val="auto"/>
                <w:szCs w:val="21"/>
                <w:highlight w:val="none"/>
                <w:lang w:val="en-US" w:eastAsia="zh-CN"/>
              </w:rPr>
              <w:t>值</w:t>
            </w:r>
            <w:r>
              <w:rPr>
                <w:rFonts w:hint="eastAsia" w:ascii="宋体" w:hAnsi="宋体" w:cs="宋体"/>
                <w:color w:val="auto"/>
                <w:szCs w:val="21"/>
                <w:highlight w:val="none"/>
              </w:rPr>
              <w:t>、平均数、最后一年数据、指标使用值、指标得分/等次、满分值、指标导向、责任科室、指标属性、指标定义、指标说明、指标采集方式等</w:t>
            </w:r>
            <w:r>
              <w:rPr>
                <w:rFonts w:hint="eastAsia" w:ascii="宋体" w:hAnsi="宋体" w:cs="宋体"/>
                <w:color w:val="auto"/>
                <w:kern w:val="0"/>
                <w:szCs w:val="21"/>
                <w:highlight w:val="none"/>
              </w:rPr>
              <w:t>。</w:t>
            </w:r>
          </w:p>
        </w:tc>
        <w:tc>
          <w:tcPr>
            <w:tcW w:w="1172" w:type="dxa"/>
            <w:noWrap w:val="0"/>
            <w:vAlign w:val="center"/>
          </w:tcPr>
          <w:p w14:paraId="6A197E1F">
            <w:pPr>
              <w:widowControl/>
              <w:jc w:val="left"/>
              <w:textAlignment w:val="center"/>
              <w:rPr>
                <w:rFonts w:hint="eastAsia" w:ascii="宋体" w:hAnsi="宋体" w:cs="宋体"/>
                <w:color w:val="auto"/>
                <w:kern w:val="0"/>
                <w:szCs w:val="21"/>
                <w:highlight w:val="none"/>
                <w:lang w:bidi="ar"/>
              </w:rPr>
            </w:pPr>
          </w:p>
        </w:tc>
      </w:tr>
      <w:tr w14:paraId="66602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40BC73DF">
            <w:pPr>
              <w:widowControl/>
              <w:jc w:val="righ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67</w:t>
            </w:r>
          </w:p>
        </w:tc>
        <w:tc>
          <w:tcPr>
            <w:tcW w:w="781" w:type="dxa"/>
            <w:vMerge w:val="continue"/>
            <w:noWrap w:val="0"/>
            <w:vAlign w:val="center"/>
          </w:tcPr>
          <w:p w14:paraId="3107BBFD">
            <w:pPr>
              <w:widowControl/>
              <w:rPr>
                <w:rFonts w:hint="eastAsia" w:ascii="宋体" w:hAnsi="宋体" w:cs="宋体"/>
                <w:color w:val="auto"/>
                <w:szCs w:val="21"/>
                <w:highlight w:val="none"/>
              </w:rPr>
            </w:pPr>
          </w:p>
        </w:tc>
        <w:tc>
          <w:tcPr>
            <w:tcW w:w="824" w:type="dxa"/>
            <w:gridSpan w:val="2"/>
            <w:noWrap w:val="0"/>
            <w:vAlign w:val="center"/>
          </w:tcPr>
          <w:p w14:paraId="52459E13">
            <w:pPr>
              <w:widowControl/>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评分管理</w:t>
            </w:r>
          </w:p>
        </w:tc>
        <w:tc>
          <w:tcPr>
            <w:tcW w:w="5214" w:type="dxa"/>
            <w:noWrap w:val="0"/>
            <w:vAlign w:val="top"/>
          </w:tcPr>
          <w:p w14:paraId="2C98BCD6">
            <w:pPr>
              <w:numPr>
                <w:ilvl w:val="0"/>
                <w:numId w:val="0"/>
              </w:numPr>
              <w:ind w:left="0" w:firstLine="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支持查看历史评分结果汇总</w:t>
            </w:r>
            <w:r>
              <w:rPr>
                <w:rFonts w:hint="eastAsia" w:ascii="宋体" w:hAnsi="宋体" w:cs="宋体"/>
                <w:color w:val="auto"/>
                <w:szCs w:val="21"/>
                <w:highlight w:val="none"/>
                <w:lang w:eastAsia="zh-CN"/>
              </w:rPr>
              <w:t>；</w:t>
            </w:r>
          </w:p>
          <w:p w14:paraId="1E1A93BE">
            <w:pPr>
              <w:pStyle w:val="24"/>
              <w:numPr>
                <w:ilvl w:val="0"/>
                <w:numId w:val="0"/>
              </w:numPr>
              <w:ind w:left="0" w:firstLine="0"/>
              <w:rPr>
                <w:rFonts w:hint="eastAsia" w:hAnsi="宋体" w:eastAsia="宋体" w:cs="宋体"/>
                <w:color w:val="auto"/>
                <w:szCs w:val="21"/>
                <w:highlight w:val="none"/>
                <w:lang w:eastAsia="zh-CN"/>
              </w:rPr>
            </w:pPr>
            <w:r>
              <w:rPr>
                <w:rFonts w:hint="eastAsia" w:hAnsi="宋体" w:cs="宋体"/>
                <w:color w:val="auto"/>
                <w:szCs w:val="21"/>
                <w:highlight w:val="none"/>
              </w:rPr>
              <w:t>支持评分汇总详细钻取</w:t>
            </w:r>
            <w:r>
              <w:rPr>
                <w:rFonts w:hint="eastAsia" w:hAnsi="宋体" w:cs="宋体"/>
                <w:color w:val="auto"/>
                <w:szCs w:val="21"/>
                <w:highlight w:val="none"/>
                <w:lang w:eastAsia="zh-CN"/>
              </w:rPr>
              <w:t>；</w:t>
            </w:r>
          </w:p>
          <w:p w14:paraId="5F98C556">
            <w:pPr>
              <w:widowControl/>
              <w:rPr>
                <w:rFonts w:hint="eastAsia" w:ascii="宋体" w:hAnsi="宋体" w:eastAsia="宋体" w:cs="宋体"/>
                <w:color w:val="auto"/>
                <w:kern w:val="0"/>
                <w:szCs w:val="21"/>
                <w:highlight w:val="none"/>
                <w:lang w:eastAsia="zh-CN" w:bidi="ar"/>
              </w:rPr>
            </w:pPr>
            <w:r>
              <w:rPr>
                <w:rFonts w:hint="eastAsia" w:ascii="宋体" w:hAnsi="宋体" w:cs="宋体"/>
                <w:color w:val="auto"/>
                <w:szCs w:val="21"/>
                <w:highlight w:val="none"/>
              </w:rPr>
              <w:t>支持查看指标得分明细</w:t>
            </w:r>
            <w:r>
              <w:rPr>
                <w:rFonts w:hint="eastAsia" w:ascii="宋体" w:hAnsi="宋体" w:cs="宋体"/>
                <w:color w:val="auto"/>
                <w:szCs w:val="21"/>
                <w:highlight w:val="none"/>
                <w:lang w:eastAsia="zh-CN"/>
              </w:rPr>
              <w:t>。</w:t>
            </w:r>
          </w:p>
        </w:tc>
        <w:tc>
          <w:tcPr>
            <w:tcW w:w="1172" w:type="dxa"/>
            <w:noWrap w:val="0"/>
            <w:vAlign w:val="center"/>
          </w:tcPr>
          <w:p w14:paraId="20B4B09A">
            <w:pPr>
              <w:jc w:val="left"/>
              <w:rPr>
                <w:rFonts w:hint="default" w:ascii="宋体" w:hAnsi="宋体" w:eastAsia="宋体" w:cs="宋体"/>
                <w:color w:val="auto"/>
                <w:kern w:val="0"/>
                <w:szCs w:val="21"/>
                <w:highlight w:val="none"/>
                <w:lang w:val="en-US" w:eastAsia="zh-CN" w:bidi="ar"/>
              </w:rPr>
            </w:pPr>
          </w:p>
        </w:tc>
      </w:tr>
      <w:tr w14:paraId="142E1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5FB32E5">
            <w:pPr>
              <w:widowControl/>
              <w:jc w:val="righ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68</w:t>
            </w:r>
          </w:p>
        </w:tc>
        <w:tc>
          <w:tcPr>
            <w:tcW w:w="781" w:type="dxa"/>
            <w:vMerge w:val="continue"/>
            <w:noWrap w:val="0"/>
            <w:vAlign w:val="center"/>
          </w:tcPr>
          <w:p w14:paraId="4D1F4DA3">
            <w:pPr>
              <w:widowControl/>
              <w:rPr>
                <w:rFonts w:hint="eastAsia" w:ascii="宋体" w:hAnsi="宋体" w:cs="宋体"/>
                <w:color w:val="auto"/>
                <w:szCs w:val="21"/>
                <w:highlight w:val="none"/>
              </w:rPr>
            </w:pPr>
          </w:p>
        </w:tc>
        <w:tc>
          <w:tcPr>
            <w:tcW w:w="824" w:type="dxa"/>
            <w:gridSpan w:val="2"/>
            <w:noWrap w:val="0"/>
            <w:vAlign w:val="center"/>
          </w:tcPr>
          <w:p w14:paraId="424AADA3">
            <w:pPr>
              <w:widowControl/>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分值分析报告</w:t>
            </w:r>
          </w:p>
        </w:tc>
        <w:tc>
          <w:tcPr>
            <w:tcW w:w="5214" w:type="dxa"/>
            <w:noWrap w:val="0"/>
            <w:vAlign w:val="top"/>
          </w:tcPr>
          <w:p w14:paraId="19B220DF">
            <w:pPr>
              <w:rPr>
                <w:rFonts w:hint="eastAsia" w:ascii="宋体" w:hAnsi="宋体" w:cs="宋体"/>
                <w:color w:val="auto"/>
                <w:szCs w:val="21"/>
                <w:highlight w:val="none"/>
              </w:rPr>
            </w:pPr>
            <w:r>
              <w:rPr>
                <w:rFonts w:hint="eastAsia" w:ascii="宋体" w:hAnsi="宋体" w:cs="宋体"/>
                <w:color w:val="auto"/>
                <w:szCs w:val="21"/>
                <w:highlight w:val="none"/>
              </w:rPr>
              <w:t>执行评分后，即可查询到分值分析报告</w:t>
            </w:r>
          </w:p>
          <w:p w14:paraId="6147ACF7">
            <w:pPr>
              <w:rPr>
                <w:rFonts w:hint="eastAsia" w:ascii="宋体" w:hAnsi="宋体" w:cs="宋体"/>
                <w:color w:val="auto"/>
                <w:szCs w:val="21"/>
                <w:highlight w:val="none"/>
              </w:rPr>
            </w:pPr>
            <w:r>
              <w:rPr>
                <w:rFonts w:hint="eastAsia" w:ascii="宋体" w:hAnsi="宋体" w:cs="宋体"/>
                <w:color w:val="auto"/>
                <w:szCs w:val="21"/>
                <w:highlight w:val="none"/>
              </w:rPr>
              <w:t>支持依照目录格式产生分值分析报告；</w:t>
            </w:r>
          </w:p>
          <w:p w14:paraId="7D03F52C">
            <w:pPr>
              <w:rPr>
                <w:rFonts w:hint="eastAsia" w:ascii="宋体" w:hAnsi="宋体" w:cs="宋体"/>
                <w:color w:val="auto"/>
                <w:szCs w:val="21"/>
                <w:highlight w:val="none"/>
              </w:rPr>
            </w:pPr>
            <w:r>
              <w:rPr>
                <w:rFonts w:hint="eastAsia" w:ascii="宋体" w:hAnsi="宋体" w:cs="宋体"/>
                <w:color w:val="auto"/>
                <w:szCs w:val="21"/>
                <w:highlight w:val="none"/>
              </w:rPr>
              <w:t>支持点击目录可快速定位；</w:t>
            </w:r>
          </w:p>
          <w:p w14:paraId="5F64F812">
            <w:pPr>
              <w:widowControl/>
              <w:rPr>
                <w:rFonts w:hint="eastAsia" w:ascii="宋体" w:hAnsi="宋体" w:cs="宋体"/>
                <w:color w:val="auto"/>
                <w:kern w:val="0"/>
                <w:szCs w:val="21"/>
                <w:highlight w:val="none"/>
                <w:lang w:bidi="ar"/>
              </w:rPr>
            </w:pPr>
            <w:r>
              <w:rPr>
                <w:rFonts w:hint="eastAsia" w:ascii="宋体" w:hAnsi="宋体" w:cs="宋体"/>
                <w:color w:val="auto"/>
                <w:szCs w:val="21"/>
                <w:highlight w:val="none"/>
              </w:rPr>
              <w:t>报告应包含总体得分、各分值总计以及分值和，还应包含准入（规模配比）指标、纵向、横向指标、单病种指标评分后的分值分布情况以及分值。</w:t>
            </w:r>
          </w:p>
        </w:tc>
        <w:tc>
          <w:tcPr>
            <w:tcW w:w="1172" w:type="dxa"/>
            <w:noWrap w:val="0"/>
            <w:vAlign w:val="center"/>
          </w:tcPr>
          <w:p w14:paraId="0ADC6706">
            <w:pPr>
              <w:widowControl/>
              <w:jc w:val="left"/>
              <w:textAlignment w:val="center"/>
              <w:rPr>
                <w:rFonts w:hint="eastAsia" w:ascii="宋体" w:hAnsi="宋体" w:cs="宋体"/>
                <w:color w:val="auto"/>
                <w:kern w:val="0"/>
                <w:szCs w:val="21"/>
                <w:highlight w:val="none"/>
                <w:lang w:bidi="ar"/>
              </w:rPr>
            </w:pPr>
          </w:p>
        </w:tc>
      </w:tr>
      <w:tr w14:paraId="04594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432A639">
            <w:pPr>
              <w:widowControl/>
              <w:jc w:val="righ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69</w:t>
            </w:r>
          </w:p>
        </w:tc>
        <w:tc>
          <w:tcPr>
            <w:tcW w:w="781" w:type="dxa"/>
            <w:vMerge w:val="continue"/>
            <w:noWrap w:val="0"/>
            <w:vAlign w:val="center"/>
          </w:tcPr>
          <w:p w14:paraId="0A907DBB">
            <w:pPr>
              <w:widowControl/>
              <w:rPr>
                <w:rFonts w:hint="eastAsia" w:ascii="宋体" w:hAnsi="宋体" w:cs="宋体"/>
                <w:color w:val="auto"/>
                <w:szCs w:val="21"/>
                <w:highlight w:val="none"/>
              </w:rPr>
            </w:pPr>
          </w:p>
        </w:tc>
        <w:tc>
          <w:tcPr>
            <w:tcW w:w="824" w:type="dxa"/>
            <w:gridSpan w:val="2"/>
            <w:noWrap w:val="0"/>
            <w:vAlign w:val="center"/>
          </w:tcPr>
          <w:p w14:paraId="495A6F03">
            <w:pPr>
              <w:widowControl/>
              <w:jc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得分分析</w:t>
            </w:r>
          </w:p>
        </w:tc>
        <w:tc>
          <w:tcPr>
            <w:tcW w:w="5214" w:type="dxa"/>
            <w:noWrap w:val="0"/>
            <w:vAlign w:val="top"/>
          </w:tcPr>
          <w:p w14:paraId="08A9A381">
            <w:pPr>
              <w:rPr>
                <w:rFonts w:hint="eastAsia" w:ascii="宋体" w:hAnsi="宋体" w:cs="宋体"/>
                <w:color w:val="auto"/>
                <w:szCs w:val="21"/>
                <w:highlight w:val="none"/>
              </w:rPr>
            </w:pPr>
            <w:r>
              <w:rPr>
                <w:rFonts w:hint="eastAsia" w:ascii="宋体" w:hAnsi="宋体" w:cs="宋体"/>
                <w:color w:val="auto"/>
                <w:szCs w:val="21"/>
                <w:highlight w:val="none"/>
              </w:rPr>
              <w:t>执行评分后，即可查询到得分分析报告</w:t>
            </w:r>
          </w:p>
          <w:p w14:paraId="7047228D">
            <w:pPr>
              <w:rPr>
                <w:rFonts w:hint="eastAsia" w:ascii="宋体" w:hAnsi="宋体" w:cs="宋体"/>
                <w:color w:val="auto"/>
                <w:szCs w:val="21"/>
                <w:highlight w:val="none"/>
              </w:rPr>
            </w:pPr>
            <w:r>
              <w:rPr>
                <w:rFonts w:hint="eastAsia" w:ascii="宋体" w:hAnsi="宋体" w:cs="宋体"/>
                <w:color w:val="auto"/>
                <w:szCs w:val="21"/>
                <w:highlight w:val="none"/>
              </w:rPr>
              <w:t>支持依照目录格式产生得分分析报告；</w:t>
            </w:r>
          </w:p>
          <w:p w14:paraId="2E704E29">
            <w:pPr>
              <w:widowControl/>
              <w:rPr>
                <w:rFonts w:hint="eastAsia" w:ascii="宋体" w:hAnsi="宋体" w:cs="宋体"/>
                <w:color w:val="auto"/>
                <w:kern w:val="0"/>
                <w:szCs w:val="21"/>
                <w:highlight w:val="none"/>
                <w:lang w:bidi="ar"/>
              </w:rPr>
            </w:pPr>
            <w:r>
              <w:rPr>
                <w:rFonts w:hint="eastAsia" w:ascii="宋体" w:hAnsi="宋体" w:cs="宋体"/>
                <w:color w:val="auto"/>
                <w:szCs w:val="21"/>
                <w:highlight w:val="none"/>
              </w:rPr>
              <w:t>支持点击目录可快速定位；</w:t>
            </w:r>
          </w:p>
        </w:tc>
        <w:tc>
          <w:tcPr>
            <w:tcW w:w="1172" w:type="dxa"/>
            <w:noWrap w:val="0"/>
            <w:vAlign w:val="center"/>
          </w:tcPr>
          <w:p w14:paraId="30A43181">
            <w:pPr>
              <w:widowControl/>
              <w:jc w:val="left"/>
              <w:textAlignment w:val="center"/>
              <w:rPr>
                <w:rFonts w:hint="eastAsia" w:ascii="宋体" w:hAnsi="宋体" w:cs="宋体"/>
                <w:color w:val="auto"/>
                <w:kern w:val="0"/>
                <w:szCs w:val="21"/>
                <w:highlight w:val="none"/>
                <w:lang w:bidi="ar"/>
              </w:rPr>
            </w:pPr>
          </w:p>
        </w:tc>
      </w:tr>
      <w:tr w14:paraId="15037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10C28614">
            <w:pPr>
              <w:widowControl/>
              <w:jc w:val="right"/>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70</w:t>
            </w:r>
          </w:p>
        </w:tc>
        <w:tc>
          <w:tcPr>
            <w:tcW w:w="781" w:type="dxa"/>
            <w:vMerge w:val="continue"/>
            <w:noWrap w:val="0"/>
            <w:vAlign w:val="center"/>
          </w:tcPr>
          <w:p w14:paraId="42B8F4FD">
            <w:pPr>
              <w:widowControl/>
              <w:rPr>
                <w:rFonts w:hint="eastAsia" w:ascii="宋体" w:hAnsi="宋体" w:cs="宋体"/>
                <w:color w:val="auto"/>
                <w:szCs w:val="21"/>
                <w:highlight w:val="none"/>
              </w:rPr>
            </w:pPr>
          </w:p>
        </w:tc>
        <w:tc>
          <w:tcPr>
            <w:tcW w:w="824" w:type="dxa"/>
            <w:gridSpan w:val="2"/>
            <w:noWrap w:val="0"/>
            <w:vAlign w:val="center"/>
          </w:tcPr>
          <w:p w14:paraId="141F3A06">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得分报告</w:t>
            </w:r>
          </w:p>
        </w:tc>
        <w:tc>
          <w:tcPr>
            <w:tcW w:w="5214" w:type="dxa"/>
            <w:noWrap w:val="0"/>
            <w:vAlign w:val="top"/>
          </w:tcPr>
          <w:p w14:paraId="0E739868">
            <w:pPr>
              <w:widowControl/>
              <w:rPr>
                <w:rFonts w:hint="eastAsia" w:ascii="宋体" w:hAnsi="宋体" w:cs="宋体"/>
                <w:color w:val="auto"/>
                <w:szCs w:val="21"/>
                <w:highlight w:val="none"/>
              </w:rPr>
            </w:pPr>
            <w:r>
              <w:rPr>
                <w:rFonts w:hint="eastAsia" w:ascii="宋体" w:hAnsi="宋体" w:cs="宋体"/>
                <w:color w:val="auto"/>
                <w:szCs w:val="21"/>
                <w:highlight w:val="none"/>
              </w:rPr>
              <w:t>报告应包含总体得分、各等次总计以及分值和，还应包含准入（规模配比）指标、纵向、横向指标、单病种指标评分后的A、B、C、D</w:t>
            </w:r>
            <w:r>
              <w:rPr>
                <w:rFonts w:hint="eastAsia" w:ascii="宋体" w:hAnsi="宋体" w:cs="宋体"/>
                <w:color w:val="auto"/>
                <w:szCs w:val="21"/>
                <w:highlight w:val="none"/>
                <w:lang w:val="en-US" w:eastAsia="zh-CN"/>
              </w:rPr>
              <w:t>等次</w:t>
            </w:r>
            <w:r>
              <w:rPr>
                <w:rFonts w:hint="eastAsia" w:ascii="宋体" w:hAnsi="宋体" w:cs="宋体"/>
                <w:color w:val="auto"/>
                <w:szCs w:val="21"/>
                <w:highlight w:val="none"/>
              </w:rPr>
              <w:t>分布情况以及分值。</w:t>
            </w:r>
          </w:p>
        </w:tc>
        <w:tc>
          <w:tcPr>
            <w:tcW w:w="1172" w:type="dxa"/>
            <w:noWrap w:val="0"/>
            <w:vAlign w:val="center"/>
          </w:tcPr>
          <w:p w14:paraId="674A04B8">
            <w:pPr>
              <w:widowControl/>
              <w:jc w:val="left"/>
              <w:textAlignment w:val="center"/>
              <w:rPr>
                <w:rFonts w:hint="eastAsia" w:ascii="宋体" w:hAnsi="宋体" w:cs="宋体"/>
                <w:color w:val="auto"/>
                <w:kern w:val="0"/>
                <w:szCs w:val="21"/>
                <w:highlight w:val="none"/>
                <w:lang w:bidi="ar"/>
              </w:rPr>
            </w:pPr>
          </w:p>
        </w:tc>
      </w:tr>
      <w:tr w14:paraId="13856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49CF413B">
            <w:pPr>
              <w:widowControl/>
              <w:jc w:val="righ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71</w:t>
            </w:r>
          </w:p>
        </w:tc>
        <w:tc>
          <w:tcPr>
            <w:tcW w:w="802" w:type="dxa"/>
            <w:gridSpan w:val="2"/>
            <w:vMerge w:val="restart"/>
            <w:noWrap w:val="0"/>
            <w:vAlign w:val="center"/>
          </w:tcPr>
          <w:p w14:paraId="28A77DA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rPr>
              <w:t>驾驶舱</w:t>
            </w:r>
          </w:p>
        </w:tc>
        <w:tc>
          <w:tcPr>
            <w:tcW w:w="803" w:type="dxa"/>
            <w:noWrap w:val="0"/>
            <w:vAlign w:val="center"/>
          </w:tcPr>
          <w:p w14:paraId="21B2D216">
            <w:pPr>
              <w:widowControl/>
              <w:jc w:val="left"/>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多维度查看</w:t>
            </w:r>
          </w:p>
        </w:tc>
        <w:tc>
          <w:tcPr>
            <w:tcW w:w="5214" w:type="dxa"/>
            <w:noWrap w:val="0"/>
            <w:vAlign w:val="top"/>
          </w:tcPr>
          <w:p w14:paraId="2FCBDA38">
            <w:pPr>
              <w:widowControl/>
              <w:jc w:val="left"/>
              <w:textAlignment w:val="center"/>
              <w:rPr>
                <w:rFonts w:hint="eastAsia" w:ascii="宋体" w:hAnsi="宋体" w:cs="宋体"/>
                <w:color w:val="auto"/>
                <w:kern w:val="0"/>
                <w:szCs w:val="21"/>
                <w:highlight w:val="none"/>
                <w:lang w:bidi="ar"/>
              </w:rPr>
            </w:pPr>
            <w:r>
              <w:rPr>
                <w:rStyle w:val="25"/>
                <w:rFonts w:hint="default"/>
                <w:color w:val="auto"/>
                <w:sz w:val="21"/>
                <w:szCs w:val="21"/>
                <w:highlight w:val="none"/>
                <w:lang w:bidi="ar"/>
              </w:rPr>
              <w:t>支持按章节、按时间多维度查看相关指标填报完成进度，达标情况，支持大屏动态展示，实时监测数据完成进度，数据达标情况，支持重点监测指标数据查看，支持指标持续改进后的趋势大屏，方便医院管理层进行监督管理。</w:t>
            </w:r>
          </w:p>
        </w:tc>
        <w:tc>
          <w:tcPr>
            <w:tcW w:w="1172" w:type="dxa"/>
            <w:noWrap w:val="0"/>
            <w:vAlign w:val="center"/>
          </w:tcPr>
          <w:p w14:paraId="43D9E6C7">
            <w:pPr>
              <w:widowControl/>
              <w:jc w:val="left"/>
              <w:textAlignment w:val="center"/>
              <w:rPr>
                <w:rFonts w:hint="eastAsia" w:ascii="宋体" w:hAnsi="宋体" w:cs="宋体"/>
                <w:color w:val="auto"/>
                <w:kern w:val="0"/>
                <w:szCs w:val="21"/>
                <w:highlight w:val="none"/>
                <w:lang w:bidi="ar"/>
              </w:rPr>
            </w:pPr>
          </w:p>
        </w:tc>
      </w:tr>
      <w:tr w14:paraId="6FE88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0AEB5F8D">
            <w:pPr>
              <w:widowControl/>
              <w:jc w:val="righ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72</w:t>
            </w:r>
          </w:p>
        </w:tc>
        <w:tc>
          <w:tcPr>
            <w:tcW w:w="802" w:type="dxa"/>
            <w:gridSpan w:val="2"/>
            <w:vMerge w:val="continue"/>
            <w:noWrap w:val="0"/>
            <w:vAlign w:val="center"/>
          </w:tcPr>
          <w:p w14:paraId="61673A52">
            <w:pPr>
              <w:widowControl/>
              <w:jc w:val="left"/>
              <w:textAlignment w:val="center"/>
              <w:rPr>
                <w:rFonts w:hint="eastAsia" w:ascii="宋体" w:hAnsi="宋体" w:cs="宋体"/>
                <w:color w:val="auto"/>
                <w:kern w:val="0"/>
                <w:szCs w:val="21"/>
                <w:highlight w:val="none"/>
                <w:lang w:bidi="ar"/>
              </w:rPr>
            </w:pPr>
          </w:p>
        </w:tc>
        <w:tc>
          <w:tcPr>
            <w:tcW w:w="803" w:type="dxa"/>
            <w:noWrap w:val="0"/>
            <w:vAlign w:val="center"/>
          </w:tcPr>
          <w:p w14:paraId="7B7BBC2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szCs w:val="21"/>
                <w:highlight w:val="none"/>
                <w:lang w:val="en-US" w:eastAsia="zh-CN"/>
              </w:rPr>
              <w:t>视图配置</w:t>
            </w:r>
          </w:p>
        </w:tc>
        <w:tc>
          <w:tcPr>
            <w:tcW w:w="5214" w:type="dxa"/>
            <w:noWrap w:val="0"/>
            <w:vAlign w:val="top"/>
          </w:tcPr>
          <w:p w14:paraId="06130BF9">
            <w:pPr>
              <w:rPr>
                <w:rFonts w:hint="eastAsia" w:ascii="宋体" w:hAnsi="宋体" w:eastAsia="宋体" w:cs="宋体"/>
                <w:color w:val="auto"/>
                <w:kern w:val="0"/>
                <w:szCs w:val="21"/>
                <w:highlight w:val="none"/>
                <w:lang w:eastAsia="zh-CN" w:bidi="ar"/>
              </w:rPr>
            </w:pPr>
            <w:r>
              <w:rPr>
                <w:rStyle w:val="26"/>
                <w:rFonts w:hint="default"/>
                <w:color w:val="auto"/>
                <w:sz w:val="21"/>
                <w:szCs w:val="21"/>
                <w:highlight w:val="none"/>
                <w:lang w:bidi="ar"/>
              </w:rPr>
              <w:t>支持所有指标数据根据使用需求进行视图配置，即自定义可视化数据大屏，提供多套医疗驾驶舱模板，支持大屏模块自定义拖拽。</w:t>
            </w:r>
            <w:r>
              <w:rPr>
                <w:rFonts w:hint="eastAsia" w:ascii="宋体" w:hAnsi="宋体" w:cs="宋体"/>
                <w:color w:val="auto"/>
                <w:kern w:val="0"/>
                <w:szCs w:val="21"/>
                <w:highlight w:val="none"/>
              </w:rPr>
              <w:t>支持报表、视图的维护和查看。满足多样化且动态的图表展示与分析需求。包括</w:t>
            </w:r>
            <w:r>
              <w:rPr>
                <w:rFonts w:hint="eastAsia" w:ascii="宋体" w:hAnsi="宋体" w:cs="宋体"/>
                <w:color w:val="auto"/>
                <w:kern w:val="0"/>
                <w:szCs w:val="21"/>
                <w:highlight w:val="none"/>
                <w:lang w:val="en-US" w:eastAsia="zh-CN"/>
              </w:rPr>
              <w:t>但不限于</w:t>
            </w:r>
            <w:r>
              <w:rPr>
                <w:rFonts w:hint="eastAsia" w:ascii="宋体" w:hAnsi="宋体" w:cs="宋体"/>
                <w:color w:val="auto"/>
                <w:kern w:val="0"/>
                <w:szCs w:val="21"/>
                <w:highlight w:val="none"/>
              </w:rPr>
              <w:t>数字展示、指标展示、柱状图、横柱图、极坐标柱图、极坐标柱图（弧形）、饼图、风玫瑰图、环形图、漏斗图、雷达图、控制图、趋势图、趋势图（平滑）、趋势图（面积）、趋势图（阶梯）、趋势图（阶梯面积）、目标监控、仪表盘、表格等</w:t>
            </w:r>
            <w:r>
              <w:rPr>
                <w:rFonts w:hint="eastAsia" w:ascii="宋体" w:hAnsi="宋体" w:cs="宋体"/>
                <w:color w:val="auto"/>
                <w:kern w:val="0"/>
                <w:szCs w:val="21"/>
                <w:highlight w:val="none"/>
                <w:lang w:eastAsia="zh-CN"/>
              </w:rPr>
              <w:t>。</w:t>
            </w:r>
          </w:p>
        </w:tc>
        <w:tc>
          <w:tcPr>
            <w:tcW w:w="1172" w:type="dxa"/>
            <w:noWrap w:val="0"/>
            <w:vAlign w:val="center"/>
          </w:tcPr>
          <w:p w14:paraId="72D1A2B2">
            <w:pPr>
              <w:widowControl/>
              <w:jc w:val="left"/>
              <w:textAlignment w:val="center"/>
              <w:rPr>
                <w:rFonts w:hint="eastAsia" w:ascii="宋体" w:hAnsi="宋体" w:cs="宋体"/>
                <w:color w:val="auto"/>
                <w:kern w:val="0"/>
                <w:szCs w:val="21"/>
                <w:highlight w:val="none"/>
                <w:lang w:bidi="ar"/>
              </w:rPr>
            </w:pPr>
          </w:p>
        </w:tc>
      </w:tr>
      <w:tr w14:paraId="386E1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7D7BA950">
            <w:pPr>
              <w:widowControl/>
              <w:jc w:val="righ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73</w:t>
            </w:r>
          </w:p>
        </w:tc>
        <w:tc>
          <w:tcPr>
            <w:tcW w:w="802" w:type="dxa"/>
            <w:gridSpan w:val="2"/>
            <w:vMerge w:val="continue"/>
            <w:noWrap w:val="0"/>
            <w:vAlign w:val="center"/>
          </w:tcPr>
          <w:p w14:paraId="4B1F5BEA">
            <w:pPr>
              <w:widowControl/>
              <w:jc w:val="left"/>
              <w:textAlignment w:val="center"/>
              <w:rPr>
                <w:rFonts w:hint="eastAsia" w:ascii="宋体" w:hAnsi="宋体" w:cs="宋体"/>
                <w:color w:val="auto"/>
                <w:kern w:val="0"/>
                <w:szCs w:val="21"/>
                <w:highlight w:val="none"/>
                <w:lang w:bidi="ar"/>
              </w:rPr>
            </w:pPr>
          </w:p>
        </w:tc>
        <w:tc>
          <w:tcPr>
            <w:tcW w:w="803" w:type="dxa"/>
            <w:noWrap w:val="0"/>
            <w:vAlign w:val="center"/>
          </w:tcPr>
          <w:p w14:paraId="4EC05C68">
            <w:pPr>
              <w:widowControl/>
              <w:jc w:val="lef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szCs w:val="21"/>
                <w:highlight w:val="none"/>
                <w:lang w:val="en-US" w:eastAsia="zh-CN"/>
              </w:rPr>
              <w:t>可视化展示</w:t>
            </w:r>
          </w:p>
        </w:tc>
        <w:tc>
          <w:tcPr>
            <w:tcW w:w="5214" w:type="dxa"/>
            <w:noWrap w:val="0"/>
            <w:vAlign w:val="top"/>
          </w:tcPr>
          <w:p w14:paraId="1856B5C8">
            <w:pPr>
              <w:rPr>
                <w:rFonts w:hint="eastAsia" w:ascii="宋体" w:hAnsi="宋体" w:eastAsia="宋体" w:cs="宋体"/>
                <w:color w:val="auto"/>
                <w:kern w:val="0"/>
                <w:szCs w:val="21"/>
                <w:highlight w:val="none"/>
                <w:lang w:val="en-US" w:eastAsia="zh-CN" w:bidi="ar"/>
              </w:rPr>
            </w:pPr>
            <w:r>
              <w:rPr>
                <w:rStyle w:val="26"/>
                <w:rFonts w:hint="default"/>
                <w:color w:val="auto"/>
                <w:sz w:val="21"/>
                <w:szCs w:val="21"/>
                <w:highlight w:val="none"/>
                <w:lang w:bidi="ar"/>
              </w:rPr>
              <w:t>支持对以下类型指标可视化图表配置及大屏展示：医疗服务能力与医院质量安全指标（医疗服务能力）、医疗服务能力与医院质量安全指标（医院质量指标）、医疗服务能力与医院质量安全指标（医疗安全指标）、单病种（术种）质量控制指标、医疗质量（功能定位）、医疗质量（质量安全）、医疗质量（合理用药）、医疗质量（服务流程）、运行效率（收支结构）运行效率（费用控制）、运行效率（资源效率）</w:t>
            </w:r>
            <w:r>
              <w:rPr>
                <w:rStyle w:val="26"/>
                <w:rFonts w:hint="eastAsia" w:eastAsia="宋体"/>
                <w:color w:val="auto"/>
                <w:sz w:val="21"/>
                <w:szCs w:val="21"/>
                <w:highlight w:val="none"/>
                <w:lang w:val="en-US" w:eastAsia="zh-CN" w:bidi="ar"/>
              </w:rPr>
              <w:t>等。</w:t>
            </w:r>
          </w:p>
        </w:tc>
        <w:tc>
          <w:tcPr>
            <w:tcW w:w="1172" w:type="dxa"/>
            <w:noWrap w:val="0"/>
            <w:vAlign w:val="center"/>
          </w:tcPr>
          <w:p w14:paraId="21AB20ED">
            <w:pPr>
              <w:widowControl/>
              <w:jc w:val="left"/>
              <w:textAlignment w:val="center"/>
              <w:rPr>
                <w:rFonts w:hint="eastAsia" w:ascii="宋体" w:hAnsi="宋体" w:cs="宋体"/>
                <w:color w:val="auto"/>
                <w:kern w:val="0"/>
                <w:szCs w:val="21"/>
                <w:highlight w:val="none"/>
                <w:lang w:bidi="ar"/>
              </w:rPr>
            </w:pPr>
          </w:p>
        </w:tc>
      </w:tr>
      <w:tr w14:paraId="0D2B5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E7CDAA5">
            <w:pPr>
              <w:widowControl/>
              <w:jc w:val="righ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74</w:t>
            </w:r>
          </w:p>
        </w:tc>
        <w:tc>
          <w:tcPr>
            <w:tcW w:w="802" w:type="dxa"/>
            <w:gridSpan w:val="2"/>
            <w:vMerge w:val="continue"/>
            <w:noWrap w:val="0"/>
            <w:vAlign w:val="center"/>
          </w:tcPr>
          <w:p w14:paraId="0234FCD6">
            <w:pPr>
              <w:widowControl/>
              <w:jc w:val="left"/>
              <w:textAlignment w:val="center"/>
              <w:rPr>
                <w:rFonts w:hint="eastAsia" w:ascii="宋体" w:hAnsi="宋体" w:cs="宋体"/>
                <w:color w:val="auto"/>
                <w:kern w:val="0"/>
                <w:szCs w:val="21"/>
                <w:highlight w:val="none"/>
                <w:lang w:bidi="ar"/>
              </w:rPr>
            </w:pPr>
          </w:p>
        </w:tc>
        <w:tc>
          <w:tcPr>
            <w:tcW w:w="803" w:type="dxa"/>
            <w:noWrap w:val="0"/>
            <w:vAlign w:val="center"/>
          </w:tcPr>
          <w:p w14:paraId="3CD710ED">
            <w:pPr>
              <w:widowControl/>
              <w:jc w:val="left"/>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数据分析</w:t>
            </w:r>
          </w:p>
        </w:tc>
        <w:tc>
          <w:tcPr>
            <w:tcW w:w="5214" w:type="dxa"/>
            <w:noWrap w:val="0"/>
            <w:vAlign w:val="top"/>
          </w:tcPr>
          <w:p w14:paraId="3E4A5688">
            <w:pPr>
              <w:rPr>
                <w:rFonts w:hint="eastAsia" w:ascii="宋体" w:hAnsi="宋体" w:cs="宋体"/>
                <w:color w:val="auto"/>
                <w:kern w:val="0"/>
                <w:szCs w:val="21"/>
                <w:highlight w:val="none"/>
                <w:lang w:bidi="ar"/>
              </w:rPr>
            </w:pPr>
            <w:r>
              <w:rPr>
                <w:rStyle w:val="26"/>
                <w:rFonts w:hint="default"/>
                <w:color w:val="auto"/>
                <w:sz w:val="21"/>
                <w:szCs w:val="21"/>
                <w:highlight w:val="none"/>
                <w:lang w:bidi="ar"/>
              </w:rPr>
              <w:t>支持多维度的数据分析，用户可从多个角度对数据进行切片和钻取，深入了解数据的内在联系和规律。</w:t>
            </w:r>
          </w:p>
        </w:tc>
        <w:tc>
          <w:tcPr>
            <w:tcW w:w="1172" w:type="dxa"/>
            <w:noWrap w:val="0"/>
            <w:vAlign w:val="center"/>
          </w:tcPr>
          <w:p w14:paraId="059B8D96">
            <w:pPr>
              <w:widowControl/>
              <w:jc w:val="left"/>
              <w:textAlignment w:val="center"/>
              <w:rPr>
                <w:rFonts w:hint="eastAsia" w:ascii="宋体" w:hAnsi="宋体" w:cs="宋体"/>
                <w:color w:val="auto"/>
                <w:kern w:val="0"/>
                <w:szCs w:val="21"/>
                <w:highlight w:val="none"/>
                <w:lang w:bidi="ar"/>
              </w:rPr>
            </w:pPr>
          </w:p>
        </w:tc>
      </w:tr>
      <w:tr w14:paraId="56060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76F3E4DC">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75</w:t>
            </w:r>
          </w:p>
        </w:tc>
        <w:tc>
          <w:tcPr>
            <w:tcW w:w="802" w:type="dxa"/>
            <w:gridSpan w:val="2"/>
            <w:vMerge w:val="continue"/>
            <w:noWrap w:val="0"/>
            <w:vAlign w:val="center"/>
          </w:tcPr>
          <w:p w14:paraId="0652AF32">
            <w:pPr>
              <w:widowControl/>
              <w:jc w:val="left"/>
              <w:textAlignment w:val="center"/>
              <w:rPr>
                <w:rFonts w:hint="eastAsia" w:ascii="宋体" w:hAnsi="宋体" w:cs="宋体"/>
                <w:color w:val="auto"/>
                <w:kern w:val="0"/>
                <w:szCs w:val="21"/>
                <w:highlight w:val="none"/>
                <w:lang w:bidi="ar"/>
              </w:rPr>
            </w:pPr>
          </w:p>
        </w:tc>
        <w:tc>
          <w:tcPr>
            <w:tcW w:w="803" w:type="dxa"/>
            <w:noWrap w:val="0"/>
            <w:vAlign w:val="center"/>
          </w:tcPr>
          <w:p w14:paraId="2C2F6A38">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指标配置</w:t>
            </w:r>
          </w:p>
        </w:tc>
        <w:tc>
          <w:tcPr>
            <w:tcW w:w="5214" w:type="dxa"/>
            <w:noWrap w:val="0"/>
            <w:vAlign w:val="top"/>
          </w:tcPr>
          <w:p w14:paraId="0779668B">
            <w:pPr>
              <w:rPr>
                <w:rFonts w:hint="eastAsia" w:ascii="宋体" w:hAnsi="宋体" w:cs="宋体"/>
                <w:color w:val="auto"/>
                <w:kern w:val="0"/>
                <w:szCs w:val="21"/>
                <w:highlight w:val="none"/>
                <w:lang w:bidi="ar"/>
              </w:rPr>
            </w:pPr>
            <w:r>
              <w:rPr>
                <w:rStyle w:val="26"/>
                <w:rFonts w:hint="default"/>
                <w:color w:val="auto"/>
                <w:sz w:val="21"/>
                <w:szCs w:val="21"/>
                <w:highlight w:val="none"/>
                <w:lang w:bidi="ar"/>
              </w:rPr>
              <w:t>提供灵活的指标配置功能，用户可根据业务需求自定义指标和维度，实现数据的个性化展示。用户可根据业务需求选择数据源、设计报表布局、设置数据过滤条件等，生成符合自己需求的报表。</w:t>
            </w:r>
          </w:p>
        </w:tc>
        <w:tc>
          <w:tcPr>
            <w:tcW w:w="1172" w:type="dxa"/>
            <w:noWrap w:val="0"/>
            <w:vAlign w:val="center"/>
          </w:tcPr>
          <w:p w14:paraId="5B2B82FD">
            <w:pPr>
              <w:widowControl/>
              <w:jc w:val="left"/>
              <w:textAlignment w:val="center"/>
              <w:rPr>
                <w:rFonts w:hint="eastAsia" w:ascii="宋体" w:hAnsi="宋体" w:cs="宋体"/>
                <w:color w:val="auto"/>
                <w:kern w:val="0"/>
                <w:szCs w:val="21"/>
                <w:highlight w:val="none"/>
                <w:lang w:bidi="ar"/>
              </w:rPr>
            </w:pPr>
          </w:p>
        </w:tc>
      </w:tr>
      <w:tr w14:paraId="33F21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531" w:type="dxa"/>
            <w:noWrap w:val="0"/>
            <w:vAlign w:val="center"/>
          </w:tcPr>
          <w:p w14:paraId="4F65DB55">
            <w:pPr>
              <w:widowControl/>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76</w:t>
            </w:r>
          </w:p>
        </w:tc>
        <w:tc>
          <w:tcPr>
            <w:tcW w:w="781" w:type="dxa"/>
            <w:vMerge w:val="restart"/>
            <w:noWrap w:val="0"/>
            <w:vAlign w:val="center"/>
          </w:tcPr>
          <w:p w14:paraId="34C6CC7A">
            <w:pPr>
              <w:widowControl/>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台账</w:t>
            </w:r>
            <w:r>
              <w:rPr>
                <w:rFonts w:hint="eastAsia" w:ascii="宋体" w:hAnsi="宋体" w:cs="宋体"/>
                <w:color w:val="auto"/>
                <w:kern w:val="0"/>
                <w:szCs w:val="21"/>
                <w:highlight w:val="none"/>
                <w:lang w:bidi="ar"/>
              </w:rPr>
              <w:t>迎检</w:t>
            </w:r>
          </w:p>
        </w:tc>
        <w:tc>
          <w:tcPr>
            <w:tcW w:w="824" w:type="dxa"/>
            <w:gridSpan w:val="2"/>
            <w:noWrap w:val="0"/>
            <w:vAlign w:val="top"/>
          </w:tcPr>
          <w:p w14:paraId="60AADFB1">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台账上传审核</w:t>
            </w:r>
          </w:p>
        </w:tc>
        <w:tc>
          <w:tcPr>
            <w:tcW w:w="5214" w:type="dxa"/>
            <w:noWrap w:val="0"/>
            <w:vAlign w:val="top"/>
          </w:tcPr>
          <w:p w14:paraId="74495436">
            <w:pPr>
              <w:widowControl/>
              <w:numPr>
                <w:ilvl w:val="0"/>
                <w:numId w:val="0"/>
              </w:numPr>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台账上传：执行人员能够对应条款进行单个台账或者批量上传，台账上传时能够关联台账标签并归档，能显示台账后续的节点审批情况。</w:t>
            </w:r>
          </w:p>
        </w:tc>
        <w:tc>
          <w:tcPr>
            <w:tcW w:w="1172" w:type="dxa"/>
            <w:noWrap w:val="0"/>
            <w:vAlign w:val="center"/>
          </w:tcPr>
          <w:p w14:paraId="3FA105B2">
            <w:pPr>
              <w:widowControl/>
              <w:jc w:val="left"/>
              <w:textAlignment w:val="center"/>
              <w:rPr>
                <w:rFonts w:hint="eastAsia" w:ascii="宋体" w:hAnsi="宋体" w:cs="宋体"/>
                <w:color w:val="auto"/>
                <w:kern w:val="0"/>
                <w:szCs w:val="21"/>
                <w:highlight w:val="none"/>
                <w:lang w:bidi="ar"/>
              </w:rPr>
            </w:pPr>
          </w:p>
        </w:tc>
      </w:tr>
      <w:tr w14:paraId="55967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531" w:type="dxa"/>
            <w:noWrap w:val="0"/>
            <w:vAlign w:val="center"/>
          </w:tcPr>
          <w:p w14:paraId="4CE360A0">
            <w:pPr>
              <w:widowControl/>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77</w:t>
            </w:r>
          </w:p>
        </w:tc>
        <w:tc>
          <w:tcPr>
            <w:tcW w:w="781" w:type="dxa"/>
            <w:vMerge w:val="continue"/>
            <w:noWrap w:val="0"/>
            <w:vAlign w:val="center"/>
          </w:tcPr>
          <w:p w14:paraId="1C16913C">
            <w:pPr>
              <w:widowControl/>
              <w:rPr>
                <w:rFonts w:hint="eastAsia" w:ascii="宋体" w:hAnsi="宋体" w:cs="宋体"/>
                <w:color w:val="auto"/>
                <w:kern w:val="0"/>
                <w:szCs w:val="21"/>
                <w:highlight w:val="none"/>
                <w:lang w:val="en-US" w:eastAsia="zh-CN" w:bidi="ar"/>
              </w:rPr>
            </w:pPr>
          </w:p>
        </w:tc>
        <w:tc>
          <w:tcPr>
            <w:tcW w:w="824" w:type="dxa"/>
            <w:gridSpan w:val="2"/>
            <w:noWrap w:val="0"/>
            <w:vAlign w:val="top"/>
          </w:tcPr>
          <w:p w14:paraId="35B8B57A">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台账审核</w:t>
            </w:r>
          </w:p>
        </w:tc>
        <w:tc>
          <w:tcPr>
            <w:tcW w:w="5214" w:type="dxa"/>
            <w:noWrap w:val="0"/>
            <w:vAlign w:val="top"/>
          </w:tcPr>
          <w:p w14:paraId="2EED123C">
            <w:pPr>
              <w:widowControl/>
              <w:numPr>
                <w:ilvl w:val="0"/>
                <w:numId w:val="0"/>
              </w:numPr>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台账审核：审批人能够直观查看条款台账上传数及审核数，能够查看台账审批的节点，对台账审核时能够进行意见反馈。</w:t>
            </w:r>
          </w:p>
        </w:tc>
        <w:tc>
          <w:tcPr>
            <w:tcW w:w="1172" w:type="dxa"/>
            <w:noWrap w:val="0"/>
            <w:vAlign w:val="center"/>
          </w:tcPr>
          <w:p w14:paraId="08F5577C">
            <w:pPr>
              <w:widowControl/>
              <w:jc w:val="left"/>
              <w:textAlignment w:val="center"/>
              <w:rPr>
                <w:rFonts w:hint="eastAsia" w:ascii="宋体" w:hAnsi="宋体" w:cs="宋体"/>
                <w:color w:val="auto"/>
                <w:kern w:val="0"/>
                <w:szCs w:val="21"/>
                <w:highlight w:val="none"/>
                <w:lang w:bidi="ar"/>
              </w:rPr>
            </w:pPr>
          </w:p>
        </w:tc>
      </w:tr>
      <w:tr w14:paraId="217D4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D552D2A">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78</w:t>
            </w:r>
          </w:p>
        </w:tc>
        <w:tc>
          <w:tcPr>
            <w:tcW w:w="781" w:type="dxa"/>
            <w:vMerge w:val="continue"/>
            <w:noWrap w:val="0"/>
            <w:vAlign w:val="center"/>
          </w:tcPr>
          <w:p w14:paraId="43B26FDD">
            <w:pPr>
              <w:widowControl/>
              <w:rPr>
                <w:rFonts w:hint="eastAsia" w:ascii="宋体" w:hAnsi="宋体" w:cs="宋体"/>
                <w:color w:val="auto"/>
                <w:szCs w:val="21"/>
                <w:highlight w:val="none"/>
              </w:rPr>
            </w:pPr>
          </w:p>
        </w:tc>
        <w:tc>
          <w:tcPr>
            <w:tcW w:w="824" w:type="dxa"/>
            <w:gridSpan w:val="2"/>
            <w:vMerge w:val="restart"/>
            <w:noWrap w:val="0"/>
            <w:vAlign w:val="center"/>
          </w:tcPr>
          <w:p w14:paraId="5A9E82F9">
            <w:pPr>
              <w:widowControl/>
              <w:spacing w:line="400" w:lineRule="exact"/>
              <w:jc w:val="left"/>
              <w:rPr>
                <w:rFonts w:hint="eastAsia" w:ascii="宋体" w:hAnsi="宋体" w:cs="宋体"/>
                <w:color w:val="auto"/>
                <w:szCs w:val="21"/>
                <w:highlight w:val="none"/>
              </w:rPr>
            </w:pPr>
          </w:p>
          <w:p w14:paraId="47B5B0AF">
            <w:pPr>
              <w:widowControl/>
              <w:spacing w:line="400" w:lineRule="exact"/>
              <w:jc w:val="left"/>
              <w:rPr>
                <w:rFonts w:hint="eastAsia" w:ascii="宋体" w:hAnsi="宋体" w:cs="宋体"/>
                <w:color w:val="auto"/>
                <w:szCs w:val="21"/>
                <w:highlight w:val="none"/>
              </w:rPr>
            </w:pPr>
          </w:p>
          <w:p w14:paraId="485E29BD">
            <w:pPr>
              <w:widowControl/>
              <w:spacing w:line="400" w:lineRule="exact"/>
              <w:jc w:val="left"/>
              <w:rPr>
                <w:rFonts w:hint="eastAsia" w:ascii="宋体" w:hAnsi="宋体" w:cs="宋体"/>
                <w:color w:val="auto"/>
                <w:szCs w:val="21"/>
                <w:highlight w:val="none"/>
              </w:rPr>
            </w:pPr>
          </w:p>
          <w:p w14:paraId="2B919C5E">
            <w:pPr>
              <w:widowControl/>
              <w:spacing w:line="400" w:lineRule="exact"/>
              <w:jc w:val="left"/>
              <w:rPr>
                <w:rFonts w:hint="eastAsia" w:ascii="宋体" w:hAnsi="宋体" w:cs="宋体"/>
                <w:color w:val="auto"/>
                <w:szCs w:val="21"/>
                <w:highlight w:val="none"/>
              </w:rPr>
            </w:pPr>
          </w:p>
          <w:p w14:paraId="1260BD38">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自查考核</w:t>
            </w:r>
          </w:p>
          <w:p w14:paraId="5A4FC952">
            <w:pPr>
              <w:widowControl/>
              <w:spacing w:line="400" w:lineRule="exact"/>
              <w:jc w:val="left"/>
              <w:rPr>
                <w:rFonts w:hint="eastAsia" w:ascii="宋体" w:hAnsi="宋体" w:cs="宋体"/>
                <w:color w:val="auto"/>
                <w:kern w:val="0"/>
                <w:szCs w:val="21"/>
                <w:highlight w:val="none"/>
                <w:lang w:bidi="ar"/>
              </w:rPr>
            </w:pPr>
          </w:p>
        </w:tc>
        <w:tc>
          <w:tcPr>
            <w:tcW w:w="5214" w:type="dxa"/>
            <w:noWrap w:val="0"/>
            <w:vAlign w:val="top"/>
          </w:tcPr>
          <w:p w14:paraId="0A1B8D4C">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支持手动添加自查模板；支持模板批量导入；支持自查模板批量作废；支持模板设置编号、类别、名称、自查频次、自查人等，根据自查频次可以自动发起自查卷；支持自查模板权限管理。</w:t>
            </w:r>
          </w:p>
        </w:tc>
        <w:tc>
          <w:tcPr>
            <w:tcW w:w="1172" w:type="dxa"/>
            <w:noWrap w:val="0"/>
            <w:vAlign w:val="center"/>
          </w:tcPr>
          <w:p w14:paraId="044906BE">
            <w:pPr>
              <w:widowControl/>
              <w:jc w:val="left"/>
              <w:textAlignment w:val="center"/>
              <w:rPr>
                <w:rFonts w:hint="eastAsia" w:ascii="宋体" w:hAnsi="宋体" w:cs="宋体"/>
                <w:color w:val="auto"/>
                <w:kern w:val="0"/>
                <w:szCs w:val="21"/>
                <w:highlight w:val="none"/>
                <w:lang w:bidi="ar"/>
              </w:rPr>
            </w:pPr>
          </w:p>
        </w:tc>
      </w:tr>
      <w:tr w14:paraId="5F51C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E69D433">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79</w:t>
            </w:r>
          </w:p>
        </w:tc>
        <w:tc>
          <w:tcPr>
            <w:tcW w:w="781" w:type="dxa"/>
            <w:vMerge w:val="continue"/>
            <w:noWrap w:val="0"/>
            <w:vAlign w:val="center"/>
          </w:tcPr>
          <w:p w14:paraId="76BE4186">
            <w:pPr>
              <w:widowControl/>
              <w:rPr>
                <w:rFonts w:hint="eastAsia" w:ascii="宋体" w:hAnsi="宋体" w:cs="宋体"/>
                <w:color w:val="auto"/>
                <w:szCs w:val="21"/>
                <w:highlight w:val="none"/>
              </w:rPr>
            </w:pPr>
          </w:p>
        </w:tc>
        <w:tc>
          <w:tcPr>
            <w:tcW w:w="824" w:type="dxa"/>
            <w:gridSpan w:val="2"/>
            <w:vMerge w:val="continue"/>
            <w:noWrap w:val="0"/>
            <w:vAlign w:val="top"/>
          </w:tcPr>
          <w:p w14:paraId="71F557BD">
            <w:pPr>
              <w:rPr>
                <w:rFonts w:hint="eastAsia" w:ascii="宋体" w:hAnsi="宋体" w:cs="宋体"/>
                <w:color w:val="auto"/>
                <w:kern w:val="0"/>
                <w:szCs w:val="21"/>
                <w:highlight w:val="none"/>
                <w:lang w:bidi="ar"/>
              </w:rPr>
            </w:pPr>
          </w:p>
        </w:tc>
        <w:tc>
          <w:tcPr>
            <w:tcW w:w="5214" w:type="dxa"/>
            <w:noWrap w:val="0"/>
            <w:vAlign w:val="top"/>
          </w:tcPr>
          <w:p w14:paraId="748619AA">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收到待办自查时能收到提醒；支持自查打分、上传图片并反馈自查当前问题和解决建议的输入；根据自查的类别不同，支持定期自查。支持所有已执行完成的自查表单统一归档，支持自己部门和上级领导对自查表单进行统计；统计结果支持数据或用曲线图柱状图等多种图表展示；支持按科室、日期等进行查询统计。</w:t>
            </w:r>
          </w:p>
        </w:tc>
        <w:tc>
          <w:tcPr>
            <w:tcW w:w="1172" w:type="dxa"/>
            <w:noWrap w:val="0"/>
            <w:vAlign w:val="center"/>
          </w:tcPr>
          <w:p w14:paraId="4599531C">
            <w:pPr>
              <w:widowControl/>
              <w:jc w:val="left"/>
              <w:textAlignment w:val="center"/>
              <w:rPr>
                <w:rFonts w:hint="eastAsia" w:ascii="宋体" w:hAnsi="宋体" w:cs="宋体"/>
                <w:color w:val="auto"/>
                <w:kern w:val="0"/>
                <w:szCs w:val="21"/>
                <w:highlight w:val="none"/>
                <w:lang w:bidi="ar"/>
              </w:rPr>
            </w:pPr>
          </w:p>
        </w:tc>
      </w:tr>
      <w:tr w14:paraId="5D64E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02E309E4">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80</w:t>
            </w:r>
          </w:p>
        </w:tc>
        <w:tc>
          <w:tcPr>
            <w:tcW w:w="781" w:type="dxa"/>
            <w:vMerge w:val="continue"/>
            <w:noWrap w:val="0"/>
            <w:vAlign w:val="center"/>
          </w:tcPr>
          <w:p w14:paraId="6E476E51">
            <w:pPr>
              <w:widowControl/>
              <w:rPr>
                <w:rFonts w:hint="eastAsia" w:ascii="宋体" w:hAnsi="宋体" w:cs="宋体"/>
                <w:color w:val="auto"/>
                <w:szCs w:val="21"/>
                <w:highlight w:val="none"/>
              </w:rPr>
            </w:pPr>
          </w:p>
        </w:tc>
        <w:tc>
          <w:tcPr>
            <w:tcW w:w="824" w:type="dxa"/>
            <w:gridSpan w:val="2"/>
            <w:vMerge w:val="continue"/>
            <w:noWrap w:val="0"/>
            <w:vAlign w:val="top"/>
          </w:tcPr>
          <w:p w14:paraId="499FE59A">
            <w:pPr>
              <w:rPr>
                <w:rFonts w:hint="eastAsia" w:ascii="宋体" w:hAnsi="宋体" w:cs="宋体"/>
                <w:color w:val="auto"/>
                <w:kern w:val="0"/>
                <w:szCs w:val="21"/>
                <w:highlight w:val="none"/>
                <w:lang w:bidi="ar"/>
              </w:rPr>
            </w:pPr>
          </w:p>
        </w:tc>
        <w:tc>
          <w:tcPr>
            <w:tcW w:w="5214" w:type="dxa"/>
            <w:noWrap w:val="0"/>
            <w:vAlign w:val="top"/>
          </w:tcPr>
          <w:p w14:paraId="1EB53857">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支持问题点信息抓取并可以反馈给科室成员，形成自查持续改进。</w:t>
            </w:r>
          </w:p>
        </w:tc>
        <w:tc>
          <w:tcPr>
            <w:tcW w:w="1172" w:type="dxa"/>
            <w:noWrap w:val="0"/>
            <w:vAlign w:val="center"/>
          </w:tcPr>
          <w:p w14:paraId="3C8178E7">
            <w:pPr>
              <w:widowControl/>
              <w:jc w:val="left"/>
              <w:textAlignment w:val="center"/>
              <w:rPr>
                <w:rFonts w:hint="eastAsia" w:ascii="宋体" w:hAnsi="宋体" w:cs="宋体"/>
                <w:color w:val="auto"/>
                <w:kern w:val="0"/>
                <w:szCs w:val="21"/>
                <w:highlight w:val="none"/>
                <w:lang w:bidi="ar"/>
              </w:rPr>
            </w:pPr>
          </w:p>
        </w:tc>
      </w:tr>
      <w:tr w14:paraId="6BF01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7A9271A">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81</w:t>
            </w:r>
          </w:p>
        </w:tc>
        <w:tc>
          <w:tcPr>
            <w:tcW w:w="781" w:type="dxa"/>
            <w:vMerge w:val="continue"/>
            <w:noWrap w:val="0"/>
            <w:vAlign w:val="center"/>
          </w:tcPr>
          <w:p w14:paraId="68B02B8E">
            <w:pPr>
              <w:widowControl/>
              <w:rPr>
                <w:rFonts w:hint="eastAsia" w:ascii="宋体" w:hAnsi="宋体" w:cs="宋体"/>
                <w:color w:val="auto"/>
                <w:szCs w:val="21"/>
                <w:highlight w:val="none"/>
              </w:rPr>
            </w:pPr>
          </w:p>
        </w:tc>
        <w:tc>
          <w:tcPr>
            <w:tcW w:w="824" w:type="dxa"/>
            <w:gridSpan w:val="2"/>
            <w:vMerge w:val="restart"/>
            <w:noWrap w:val="0"/>
            <w:vAlign w:val="center"/>
          </w:tcPr>
          <w:p w14:paraId="7C7056DA">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督查考核</w:t>
            </w:r>
          </w:p>
          <w:p w14:paraId="1B09C06D">
            <w:pPr>
              <w:widowControl/>
              <w:spacing w:line="400" w:lineRule="exact"/>
              <w:jc w:val="left"/>
              <w:rPr>
                <w:rFonts w:hint="eastAsia" w:ascii="宋体" w:hAnsi="宋体" w:cs="宋体"/>
                <w:color w:val="auto"/>
                <w:kern w:val="0"/>
                <w:szCs w:val="21"/>
                <w:highlight w:val="none"/>
                <w:lang w:bidi="ar"/>
              </w:rPr>
            </w:pPr>
          </w:p>
        </w:tc>
        <w:tc>
          <w:tcPr>
            <w:tcW w:w="5214" w:type="dxa"/>
            <w:noWrap w:val="0"/>
            <w:vAlign w:val="top"/>
          </w:tcPr>
          <w:p w14:paraId="462A0032">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支持手动添加督查模板；支持模板批量导入；支持督查模板批量作废；支持模板设置编号、类别、名称、督查频次、督查人等，根据督查频次可以设置定时推送；发给相应督查人去督查相应科室；支持督查模板权限管理。</w:t>
            </w:r>
          </w:p>
        </w:tc>
        <w:tc>
          <w:tcPr>
            <w:tcW w:w="1172" w:type="dxa"/>
            <w:noWrap w:val="0"/>
            <w:vAlign w:val="center"/>
          </w:tcPr>
          <w:p w14:paraId="28A54C55">
            <w:pPr>
              <w:widowControl/>
              <w:jc w:val="left"/>
              <w:textAlignment w:val="center"/>
              <w:rPr>
                <w:rFonts w:hint="eastAsia" w:ascii="宋体" w:hAnsi="宋体" w:cs="宋体"/>
                <w:color w:val="auto"/>
                <w:kern w:val="0"/>
                <w:szCs w:val="21"/>
                <w:highlight w:val="none"/>
                <w:lang w:bidi="ar"/>
              </w:rPr>
            </w:pPr>
          </w:p>
        </w:tc>
      </w:tr>
      <w:tr w14:paraId="7B5D4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781D614">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82</w:t>
            </w:r>
          </w:p>
        </w:tc>
        <w:tc>
          <w:tcPr>
            <w:tcW w:w="781" w:type="dxa"/>
            <w:vMerge w:val="continue"/>
            <w:noWrap w:val="0"/>
            <w:vAlign w:val="center"/>
          </w:tcPr>
          <w:p w14:paraId="4F9C45E4">
            <w:pPr>
              <w:widowControl/>
              <w:rPr>
                <w:rFonts w:hint="eastAsia" w:ascii="宋体" w:hAnsi="宋体" w:cs="宋体"/>
                <w:color w:val="auto"/>
                <w:szCs w:val="21"/>
                <w:highlight w:val="none"/>
              </w:rPr>
            </w:pPr>
          </w:p>
        </w:tc>
        <w:tc>
          <w:tcPr>
            <w:tcW w:w="824" w:type="dxa"/>
            <w:gridSpan w:val="2"/>
            <w:vMerge w:val="continue"/>
            <w:noWrap w:val="0"/>
            <w:vAlign w:val="top"/>
          </w:tcPr>
          <w:p w14:paraId="47C106BA">
            <w:pPr>
              <w:rPr>
                <w:rFonts w:hint="eastAsia" w:ascii="宋体" w:hAnsi="宋体" w:cs="宋体"/>
                <w:color w:val="auto"/>
                <w:kern w:val="0"/>
                <w:szCs w:val="21"/>
                <w:highlight w:val="none"/>
                <w:lang w:bidi="ar"/>
              </w:rPr>
            </w:pPr>
          </w:p>
        </w:tc>
        <w:tc>
          <w:tcPr>
            <w:tcW w:w="5214" w:type="dxa"/>
            <w:noWrap w:val="0"/>
            <w:vAlign w:val="top"/>
          </w:tcPr>
          <w:p w14:paraId="3938F70A">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收到待办督查时能收到提醒；支持督查打分、上传图片并反馈督查当前问题和解决建议的输入；根据督查的类别不同，支持定期督查。支持所有已执行完成的督查表单统一归档，支持自己部门和上级领导对督查表结果进行查看和统计；统计结果支持数据或用曲线图柱状图等多种图表展示；支持按科室、日期等进行查询统计。</w:t>
            </w:r>
          </w:p>
        </w:tc>
        <w:tc>
          <w:tcPr>
            <w:tcW w:w="1172" w:type="dxa"/>
            <w:noWrap w:val="0"/>
            <w:vAlign w:val="center"/>
          </w:tcPr>
          <w:p w14:paraId="6B61517E">
            <w:pPr>
              <w:widowControl/>
              <w:jc w:val="left"/>
              <w:textAlignment w:val="center"/>
              <w:rPr>
                <w:rFonts w:hint="eastAsia" w:ascii="宋体" w:hAnsi="宋体" w:cs="宋体"/>
                <w:color w:val="auto"/>
                <w:kern w:val="0"/>
                <w:szCs w:val="21"/>
                <w:highlight w:val="none"/>
                <w:lang w:bidi="ar"/>
              </w:rPr>
            </w:pPr>
          </w:p>
        </w:tc>
      </w:tr>
      <w:tr w14:paraId="7F57F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7C700251">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83</w:t>
            </w:r>
          </w:p>
        </w:tc>
        <w:tc>
          <w:tcPr>
            <w:tcW w:w="781" w:type="dxa"/>
            <w:vMerge w:val="continue"/>
            <w:noWrap w:val="0"/>
            <w:vAlign w:val="center"/>
          </w:tcPr>
          <w:p w14:paraId="056FC719">
            <w:pPr>
              <w:widowControl/>
              <w:rPr>
                <w:rFonts w:hint="eastAsia" w:ascii="宋体" w:hAnsi="宋体" w:cs="宋体"/>
                <w:color w:val="auto"/>
                <w:szCs w:val="21"/>
                <w:highlight w:val="none"/>
              </w:rPr>
            </w:pPr>
          </w:p>
        </w:tc>
        <w:tc>
          <w:tcPr>
            <w:tcW w:w="824" w:type="dxa"/>
            <w:gridSpan w:val="2"/>
            <w:vMerge w:val="continue"/>
            <w:noWrap w:val="0"/>
            <w:vAlign w:val="top"/>
          </w:tcPr>
          <w:p w14:paraId="45C229F4">
            <w:pPr>
              <w:rPr>
                <w:rFonts w:hint="eastAsia" w:ascii="宋体" w:hAnsi="宋体" w:cs="宋体"/>
                <w:color w:val="auto"/>
                <w:kern w:val="0"/>
                <w:szCs w:val="21"/>
                <w:highlight w:val="none"/>
                <w:lang w:bidi="ar"/>
              </w:rPr>
            </w:pPr>
          </w:p>
        </w:tc>
        <w:tc>
          <w:tcPr>
            <w:tcW w:w="5214" w:type="dxa"/>
            <w:noWrap w:val="0"/>
            <w:vAlign w:val="top"/>
          </w:tcPr>
          <w:p w14:paraId="34E9B6D8">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支持抓取同个问题不同科室情况和一个科室所有问题，并支持相互流通反馈，形成督查持续改进。</w:t>
            </w:r>
          </w:p>
        </w:tc>
        <w:tc>
          <w:tcPr>
            <w:tcW w:w="1172" w:type="dxa"/>
            <w:noWrap w:val="0"/>
            <w:vAlign w:val="center"/>
          </w:tcPr>
          <w:p w14:paraId="617B8179">
            <w:pPr>
              <w:widowControl/>
              <w:jc w:val="left"/>
              <w:textAlignment w:val="center"/>
              <w:rPr>
                <w:rFonts w:hint="eastAsia" w:ascii="宋体" w:hAnsi="宋体" w:cs="宋体"/>
                <w:color w:val="auto"/>
                <w:kern w:val="0"/>
                <w:szCs w:val="21"/>
                <w:highlight w:val="none"/>
                <w:lang w:bidi="ar"/>
              </w:rPr>
            </w:pPr>
          </w:p>
        </w:tc>
      </w:tr>
      <w:tr w14:paraId="70717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5D752418">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84</w:t>
            </w:r>
          </w:p>
        </w:tc>
        <w:tc>
          <w:tcPr>
            <w:tcW w:w="781" w:type="dxa"/>
            <w:vMerge w:val="continue"/>
            <w:noWrap w:val="0"/>
            <w:vAlign w:val="center"/>
          </w:tcPr>
          <w:p w14:paraId="2439B825">
            <w:pPr>
              <w:widowControl/>
              <w:rPr>
                <w:rFonts w:hint="eastAsia" w:ascii="宋体" w:hAnsi="宋体" w:cs="宋体"/>
                <w:color w:val="auto"/>
                <w:szCs w:val="21"/>
                <w:highlight w:val="none"/>
              </w:rPr>
            </w:pPr>
          </w:p>
        </w:tc>
        <w:tc>
          <w:tcPr>
            <w:tcW w:w="824" w:type="dxa"/>
            <w:gridSpan w:val="2"/>
            <w:noWrap w:val="0"/>
            <w:vAlign w:val="top"/>
          </w:tcPr>
          <w:p w14:paraId="6BFDC68E">
            <w:pPr>
              <w:widowControl/>
              <w:spacing w:line="400" w:lineRule="exact"/>
              <w:jc w:val="left"/>
              <w:rPr>
                <w:rFonts w:hint="eastAsia" w:ascii="宋体" w:hAnsi="宋体" w:cs="宋体"/>
                <w:color w:val="auto"/>
                <w:szCs w:val="21"/>
                <w:highlight w:val="none"/>
              </w:rPr>
            </w:pPr>
          </w:p>
          <w:p w14:paraId="7AA3CD0A">
            <w:pPr>
              <w:widowControl/>
              <w:spacing w:line="400" w:lineRule="exact"/>
              <w:jc w:val="left"/>
              <w:rPr>
                <w:rFonts w:hint="eastAsia" w:ascii="宋体" w:hAnsi="宋体" w:cs="宋体"/>
                <w:color w:val="auto"/>
                <w:szCs w:val="21"/>
                <w:highlight w:val="none"/>
              </w:rPr>
            </w:pPr>
          </w:p>
          <w:p w14:paraId="04EC7B17">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应知应会考学管理</w:t>
            </w:r>
          </w:p>
        </w:tc>
        <w:tc>
          <w:tcPr>
            <w:tcW w:w="5214" w:type="dxa"/>
            <w:noWrap w:val="0"/>
            <w:vAlign w:val="top"/>
          </w:tcPr>
          <w:p w14:paraId="5747193A">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支持从本地添加学习资料，支持指定学习人员和学习时间，学习类型支持全院学习、按条款学习、按部门学习、按人员学习</w:t>
            </w:r>
          </w:p>
          <w:p w14:paraId="18E92FB4">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学习资料格式支持PPT、Word、Excel、图片、PDF、视频；支持电脑端进行学习，学习资料之前预览或下载</w:t>
            </w:r>
          </w:p>
          <w:p w14:paraId="29CCF8BB">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支持学习资料关联考试，并将学习资料自动归档迎评台账。</w:t>
            </w:r>
          </w:p>
          <w:p w14:paraId="24F28990">
            <w:pPr>
              <w:widowControl/>
              <w:spacing w:line="400" w:lineRule="exact"/>
              <w:jc w:val="left"/>
              <w:rPr>
                <w:rFonts w:hint="eastAsia" w:ascii="宋体" w:hAnsi="宋体" w:cs="宋体"/>
                <w:color w:val="auto"/>
                <w:szCs w:val="21"/>
                <w:highlight w:val="none"/>
              </w:rPr>
            </w:pPr>
            <w:r>
              <w:rPr>
                <w:rFonts w:hint="eastAsia" w:ascii="宋体" w:hAnsi="宋体" w:eastAsia="宋体" w:cs="宋体"/>
                <w:color w:val="auto"/>
                <w:szCs w:val="21"/>
                <w:highlight w:val="none"/>
              </w:rPr>
              <w:t>支持医院新建题库、试卷库，可批量导入题目。支持新建、删除、编辑考试卷；支持试题手动添加和批量导入和从题库抽取题目；</w:t>
            </w:r>
          </w:p>
        </w:tc>
        <w:tc>
          <w:tcPr>
            <w:tcW w:w="1172" w:type="dxa"/>
            <w:noWrap w:val="0"/>
            <w:vAlign w:val="center"/>
          </w:tcPr>
          <w:p w14:paraId="359B767A">
            <w:pPr>
              <w:widowControl/>
              <w:jc w:val="left"/>
              <w:textAlignment w:val="center"/>
              <w:rPr>
                <w:rFonts w:hint="eastAsia" w:ascii="宋体" w:hAnsi="宋体" w:cs="宋体"/>
                <w:color w:val="auto"/>
                <w:kern w:val="0"/>
                <w:szCs w:val="21"/>
                <w:highlight w:val="none"/>
                <w:lang w:bidi="ar"/>
              </w:rPr>
            </w:pPr>
          </w:p>
        </w:tc>
      </w:tr>
      <w:tr w14:paraId="25528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73C0CBEA">
            <w:pPr>
              <w:widowControl/>
              <w:tabs>
                <w:tab w:val="left" w:pos="420"/>
              </w:tabs>
              <w:ind w:left="425" w:hanging="425"/>
              <w:jc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85</w:t>
            </w:r>
          </w:p>
        </w:tc>
        <w:tc>
          <w:tcPr>
            <w:tcW w:w="781" w:type="dxa"/>
            <w:vMerge w:val="continue"/>
            <w:noWrap w:val="0"/>
            <w:vAlign w:val="center"/>
          </w:tcPr>
          <w:p w14:paraId="3DDCB241">
            <w:pPr>
              <w:widowControl/>
              <w:rPr>
                <w:rFonts w:hint="eastAsia" w:ascii="宋体" w:hAnsi="宋体" w:cs="宋体"/>
                <w:color w:val="auto"/>
                <w:szCs w:val="21"/>
                <w:highlight w:val="none"/>
              </w:rPr>
            </w:pPr>
          </w:p>
        </w:tc>
        <w:tc>
          <w:tcPr>
            <w:tcW w:w="824" w:type="dxa"/>
            <w:gridSpan w:val="2"/>
            <w:noWrap w:val="0"/>
            <w:vAlign w:val="top"/>
          </w:tcPr>
          <w:p w14:paraId="2810402E">
            <w:pPr>
              <w:widowControl/>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应知应会学习结果查看</w:t>
            </w:r>
          </w:p>
        </w:tc>
        <w:tc>
          <w:tcPr>
            <w:tcW w:w="5214" w:type="dxa"/>
            <w:noWrap w:val="0"/>
            <w:vAlign w:val="top"/>
          </w:tcPr>
          <w:p w14:paraId="72FB1EC0">
            <w:pPr>
              <w:widowControl/>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rPr>
              <w:t>支持查看学习结果，包括学习人、学习次数等，学习结果支持导出</w:t>
            </w:r>
            <w:r>
              <w:rPr>
                <w:rFonts w:hint="eastAsia" w:ascii="宋体" w:hAnsi="宋体" w:cs="宋体"/>
                <w:color w:val="auto"/>
                <w:szCs w:val="21"/>
                <w:highlight w:val="none"/>
                <w:lang w:eastAsia="zh-CN"/>
              </w:rPr>
              <w:t>；</w:t>
            </w:r>
          </w:p>
          <w:p w14:paraId="08C5C980">
            <w:pPr>
              <w:widowControl/>
              <w:spacing w:line="400" w:lineRule="exact"/>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支持指定考</w:t>
            </w:r>
            <w:r>
              <w:rPr>
                <w:rFonts w:hint="eastAsia" w:ascii="宋体" w:hAnsi="宋体" w:cs="宋体"/>
                <w:color w:val="auto"/>
                <w:szCs w:val="21"/>
                <w:highlight w:val="none"/>
              </w:rPr>
              <w:t>试人员和规定的考试次数、考试时间、支持进行题目随机设置；支持电脑端进行考试；支持客观题目系统自动评分；支持重考；支持考试统计结果导出，关联条款，并进行考试资料自动归档迎评台账。</w:t>
            </w:r>
          </w:p>
        </w:tc>
        <w:tc>
          <w:tcPr>
            <w:tcW w:w="1172" w:type="dxa"/>
            <w:noWrap w:val="0"/>
            <w:vAlign w:val="center"/>
          </w:tcPr>
          <w:p w14:paraId="697E8B1A">
            <w:pPr>
              <w:widowControl/>
              <w:jc w:val="left"/>
              <w:textAlignment w:val="center"/>
              <w:rPr>
                <w:rFonts w:hint="eastAsia" w:ascii="宋体" w:hAnsi="宋体" w:cs="宋体"/>
                <w:color w:val="auto"/>
                <w:kern w:val="0"/>
                <w:szCs w:val="21"/>
                <w:highlight w:val="none"/>
                <w:lang w:bidi="ar"/>
              </w:rPr>
            </w:pPr>
          </w:p>
        </w:tc>
      </w:tr>
      <w:tr w14:paraId="0A0C4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CCCD5E6">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86</w:t>
            </w:r>
          </w:p>
        </w:tc>
        <w:tc>
          <w:tcPr>
            <w:tcW w:w="781" w:type="dxa"/>
            <w:vMerge w:val="continue"/>
            <w:noWrap w:val="0"/>
            <w:vAlign w:val="center"/>
          </w:tcPr>
          <w:p w14:paraId="19C44D5C">
            <w:pPr>
              <w:widowControl/>
              <w:rPr>
                <w:rFonts w:hint="eastAsia" w:ascii="宋体" w:hAnsi="宋体" w:cs="宋体"/>
                <w:color w:val="auto"/>
                <w:szCs w:val="21"/>
                <w:highlight w:val="none"/>
              </w:rPr>
            </w:pPr>
          </w:p>
        </w:tc>
        <w:tc>
          <w:tcPr>
            <w:tcW w:w="824" w:type="dxa"/>
            <w:gridSpan w:val="2"/>
            <w:noWrap w:val="0"/>
            <w:vAlign w:val="center"/>
          </w:tcPr>
          <w:p w14:paraId="2FD1EEB8">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自查自评</w:t>
            </w:r>
          </w:p>
        </w:tc>
        <w:tc>
          <w:tcPr>
            <w:tcW w:w="5214" w:type="dxa"/>
            <w:noWrap w:val="0"/>
            <w:vAlign w:val="top"/>
          </w:tcPr>
          <w:p w14:paraId="2DAE84D6">
            <w:pPr>
              <w:widowControl/>
              <w:numPr>
                <w:ilvl w:val="0"/>
                <w:numId w:val="0"/>
              </w:numPr>
              <w:tabs>
                <w:tab w:val="left" w:pos="312"/>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可手动设置或后台录入条款目标值，并实时体现当前节点自评值，并在系统界面直观对比，当前节点自评值未达目标值，系统能够逐条高亮预警。</w:t>
            </w:r>
          </w:p>
          <w:p w14:paraId="63993806">
            <w:pPr>
              <w:widowControl/>
              <w:numPr>
                <w:ilvl w:val="0"/>
                <w:numId w:val="0"/>
              </w:num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职能科室针对条款执行情况能够打分，并给出自评情况及整改措施，每一条款历史自评情况能够形成时间轴。</w:t>
            </w:r>
          </w:p>
          <w:p w14:paraId="621571F4">
            <w:pPr>
              <w:widowControl/>
              <w:numPr>
                <w:ilvl w:val="0"/>
                <w:numId w:val="0"/>
              </w:numPr>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自评节点支持医院根据等评进度规划按时间轴手动及自动灵活设置，并到时自动展现当前整体自评情况，自动出具自评报告。</w:t>
            </w:r>
          </w:p>
        </w:tc>
        <w:tc>
          <w:tcPr>
            <w:tcW w:w="1172" w:type="dxa"/>
            <w:noWrap w:val="0"/>
            <w:vAlign w:val="center"/>
          </w:tcPr>
          <w:p w14:paraId="3D9C3A5E">
            <w:pPr>
              <w:widowControl/>
              <w:jc w:val="left"/>
              <w:textAlignment w:val="center"/>
              <w:rPr>
                <w:rFonts w:hint="eastAsia" w:ascii="宋体" w:hAnsi="宋体" w:cs="宋体"/>
                <w:color w:val="auto"/>
                <w:kern w:val="0"/>
                <w:szCs w:val="21"/>
                <w:highlight w:val="none"/>
                <w:lang w:bidi="ar"/>
              </w:rPr>
            </w:pPr>
          </w:p>
        </w:tc>
      </w:tr>
      <w:tr w14:paraId="4DAFD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69806FF3">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87</w:t>
            </w:r>
          </w:p>
        </w:tc>
        <w:tc>
          <w:tcPr>
            <w:tcW w:w="781" w:type="dxa"/>
            <w:vMerge w:val="continue"/>
            <w:noWrap w:val="0"/>
            <w:vAlign w:val="center"/>
          </w:tcPr>
          <w:p w14:paraId="1001CEE4">
            <w:pPr>
              <w:widowControl/>
              <w:rPr>
                <w:rFonts w:hint="eastAsia" w:ascii="宋体" w:hAnsi="宋体" w:cs="宋体"/>
                <w:color w:val="auto"/>
                <w:szCs w:val="21"/>
                <w:highlight w:val="none"/>
              </w:rPr>
            </w:pPr>
          </w:p>
        </w:tc>
        <w:tc>
          <w:tcPr>
            <w:tcW w:w="824" w:type="dxa"/>
            <w:gridSpan w:val="2"/>
            <w:noWrap w:val="0"/>
            <w:vAlign w:val="center"/>
          </w:tcPr>
          <w:p w14:paraId="53661FB0">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迎评管理</w:t>
            </w:r>
          </w:p>
        </w:tc>
        <w:tc>
          <w:tcPr>
            <w:tcW w:w="5214" w:type="dxa"/>
            <w:noWrap w:val="0"/>
            <w:vAlign w:val="top"/>
          </w:tcPr>
          <w:p w14:paraId="473355B6">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支持任务执行、制度上传、学习、考试、自查、督查与条款关联，执行前中后的资料都按照条款归档存储，并生成台账资料；超级管理员拥有资料下载功能。</w:t>
            </w:r>
          </w:p>
        </w:tc>
        <w:tc>
          <w:tcPr>
            <w:tcW w:w="1172" w:type="dxa"/>
            <w:noWrap w:val="0"/>
            <w:vAlign w:val="center"/>
          </w:tcPr>
          <w:p w14:paraId="0B5AF9A0">
            <w:pPr>
              <w:widowControl/>
              <w:jc w:val="left"/>
              <w:textAlignment w:val="center"/>
              <w:rPr>
                <w:rFonts w:hint="eastAsia" w:ascii="宋体" w:hAnsi="宋体" w:cs="宋体"/>
                <w:color w:val="auto"/>
                <w:kern w:val="0"/>
                <w:szCs w:val="21"/>
                <w:highlight w:val="none"/>
                <w:lang w:bidi="ar"/>
              </w:rPr>
            </w:pPr>
          </w:p>
        </w:tc>
      </w:tr>
      <w:tr w14:paraId="1A8B7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64010ACF">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88</w:t>
            </w:r>
          </w:p>
        </w:tc>
        <w:tc>
          <w:tcPr>
            <w:tcW w:w="781" w:type="dxa"/>
            <w:vMerge w:val="continue"/>
            <w:noWrap w:val="0"/>
            <w:vAlign w:val="center"/>
          </w:tcPr>
          <w:p w14:paraId="2387EA3B">
            <w:pPr>
              <w:widowControl/>
              <w:rPr>
                <w:rFonts w:hint="eastAsia" w:ascii="宋体" w:hAnsi="宋体" w:cs="宋体"/>
                <w:color w:val="auto"/>
                <w:szCs w:val="21"/>
                <w:highlight w:val="none"/>
              </w:rPr>
            </w:pPr>
          </w:p>
        </w:tc>
        <w:tc>
          <w:tcPr>
            <w:tcW w:w="824" w:type="dxa"/>
            <w:gridSpan w:val="2"/>
            <w:noWrap w:val="0"/>
            <w:vAlign w:val="center"/>
          </w:tcPr>
          <w:p w14:paraId="07880F05">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进度统计</w:t>
            </w:r>
          </w:p>
        </w:tc>
        <w:tc>
          <w:tcPr>
            <w:tcW w:w="5214" w:type="dxa"/>
            <w:noWrap w:val="0"/>
            <w:vAlign w:val="top"/>
          </w:tcPr>
          <w:p w14:paraId="181935F1">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支持等级完成率等进度参照对比功能，可以按章/节/条/款、责任分组/科室/人员、时间段等列表对比统计，增加对等级评审迎评工作的进度把控。</w:t>
            </w:r>
          </w:p>
        </w:tc>
        <w:tc>
          <w:tcPr>
            <w:tcW w:w="1172" w:type="dxa"/>
            <w:noWrap w:val="0"/>
            <w:vAlign w:val="center"/>
          </w:tcPr>
          <w:p w14:paraId="19AEB85D">
            <w:pPr>
              <w:widowControl/>
              <w:jc w:val="left"/>
              <w:textAlignment w:val="center"/>
              <w:rPr>
                <w:rFonts w:hint="eastAsia" w:ascii="宋体" w:hAnsi="宋体" w:cs="宋体"/>
                <w:color w:val="auto"/>
                <w:kern w:val="0"/>
                <w:szCs w:val="21"/>
                <w:highlight w:val="none"/>
                <w:lang w:bidi="ar"/>
              </w:rPr>
            </w:pPr>
          </w:p>
        </w:tc>
      </w:tr>
      <w:tr w14:paraId="63EF7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83DA300">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89</w:t>
            </w:r>
          </w:p>
        </w:tc>
        <w:tc>
          <w:tcPr>
            <w:tcW w:w="781" w:type="dxa"/>
            <w:vMerge w:val="continue"/>
            <w:noWrap w:val="0"/>
            <w:vAlign w:val="center"/>
          </w:tcPr>
          <w:p w14:paraId="0DE1FA2C">
            <w:pPr>
              <w:widowControl/>
              <w:rPr>
                <w:rFonts w:hint="eastAsia" w:ascii="宋体" w:hAnsi="宋体" w:cs="宋体"/>
                <w:color w:val="auto"/>
                <w:szCs w:val="21"/>
                <w:highlight w:val="none"/>
              </w:rPr>
            </w:pPr>
          </w:p>
        </w:tc>
        <w:tc>
          <w:tcPr>
            <w:tcW w:w="824" w:type="dxa"/>
            <w:gridSpan w:val="2"/>
            <w:vMerge w:val="restart"/>
            <w:noWrap w:val="0"/>
            <w:vAlign w:val="top"/>
          </w:tcPr>
          <w:p w14:paraId="700EC614">
            <w:pPr>
              <w:widowControl/>
              <w:spacing w:line="400" w:lineRule="exact"/>
              <w:jc w:val="left"/>
              <w:rPr>
                <w:rFonts w:hint="eastAsia" w:ascii="宋体" w:hAnsi="宋体" w:cs="宋体"/>
                <w:color w:val="auto"/>
                <w:szCs w:val="21"/>
                <w:highlight w:val="none"/>
              </w:rPr>
            </w:pPr>
          </w:p>
          <w:p w14:paraId="08346312">
            <w:pPr>
              <w:widowControl/>
              <w:spacing w:line="400" w:lineRule="exact"/>
              <w:jc w:val="left"/>
              <w:rPr>
                <w:rFonts w:hint="eastAsia" w:ascii="宋体" w:hAnsi="宋体" w:cs="宋体"/>
                <w:color w:val="auto"/>
                <w:szCs w:val="21"/>
                <w:highlight w:val="none"/>
              </w:rPr>
            </w:pPr>
          </w:p>
          <w:p w14:paraId="505D7ADA">
            <w:pPr>
              <w:widowControl/>
              <w:spacing w:line="400" w:lineRule="exact"/>
              <w:jc w:val="left"/>
              <w:rPr>
                <w:rFonts w:hint="eastAsia" w:ascii="宋体" w:hAnsi="宋体" w:cs="宋体"/>
                <w:color w:val="auto"/>
                <w:szCs w:val="21"/>
                <w:highlight w:val="none"/>
              </w:rPr>
            </w:pPr>
          </w:p>
          <w:p w14:paraId="69DD1259">
            <w:pPr>
              <w:widowControl/>
              <w:spacing w:line="400" w:lineRule="exact"/>
              <w:jc w:val="left"/>
              <w:rPr>
                <w:rFonts w:hint="eastAsia" w:ascii="宋体" w:hAnsi="宋体" w:cs="宋体"/>
                <w:color w:val="auto"/>
                <w:szCs w:val="21"/>
                <w:highlight w:val="none"/>
              </w:rPr>
            </w:pPr>
          </w:p>
          <w:p w14:paraId="65BD375B">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评审进度管理</w:t>
            </w:r>
          </w:p>
        </w:tc>
        <w:tc>
          <w:tcPr>
            <w:tcW w:w="5214" w:type="dxa"/>
            <w:noWrap w:val="0"/>
            <w:vAlign w:val="center"/>
          </w:tcPr>
          <w:p w14:paraId="20B80D95">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评审报告：</w:t>
            </w:r>
          </w:p>
          <w:p w14:paraId="185403F8">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自动生成全院评审自评报告，能体现自评整体情况，包括自评总体分值及分项分值，与目标值对比，自动统计展现科室评审工作进度及完成情况，支持在线填写医院评审工作存在问题及亮点，自评报告支持打印、导出。</w:t>
            </w:r>
          </w:p>
          <w:p w14:paraId="1B6E74F6">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对应所有条款完成情况自动生成每一批次的评审明细报告，能体现自评分值和措施状态的完成状态，能体现当前等级和目标值，报告可导出下载。</w:t>
            </w:r>
          </w:p>
        </w:tc>
        <w:tc>
          <w:tcPr>
            <w:tcW w:w="1172" w:type="dxa"/>
            <w:noWrap w:val="0"/>
            <w:vAlign w:val="center"/>
          </w:tcPr>
          <w:p w14:paraId="0BB58A39">
            <w:pPr>
              <w:widowControl/>
              <w:jc w:val="left"/>
              <w:textAlignment w:val="center"/>
              <w:rPr>
                <w:rFonts w:hint="eastAsia" w:ascii="宋体" w:hAnsi="宋体" w:cs="宋体"/>
                <w:color w:val="auto"/>
                <w:kern w:val="0"/>
                <w:szCs w:val="21"/>
                <w:highlight w:val="none"/>
                <w:lang w:bidi="ar"/>
              </w:rPr>
            </w:pPr>
          </w:p>
        </w:tc>
      </w:tr>
      <w:tr w14:paraId="3B159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5E3AA326">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90</w:t>
            </w:r>
          </w:p>
        </w:tc>
        <w:tc>
          <w:tcPr>
            <w:tcW w:w="781" w:type="dxa"/>
            <w:vMerge w:val="continue"/>
            <w:noWrap w:val="0"/>
            <w:vAlign w:val="center"/>
          </w:tcPr>
          <w:p w14:paraId="2C49E4ED">
            <w:pPr>
              <w:widowControl/>
              <w:rPr>
                <w:rFonts w:hint="eastAsia" w:ascii="宋体" w:hAnsi="宋体" w:cs="宋体"/>
                <w:color w:val="auto"/>
                <w:szCs w:val="21"/>
                <w:highlight w:val="none"/>
              </w:rPr>
            </w:pPr>
          </w:p>
        </w:tc>
        <w:tc>
          <w:tcPr>
            <w:tcW w:w="824" w:type="dxa"/>
            <w:gridSpan w:val="2"/>
            <w:vMerge w:val="continue"/>
            <w:noWrap w:val="0"/>
            <w:vAlign w:val="top"/>
          </w:tcPr>
          <w:p w14:paraId="1C6C0D27">
            <w:pPr>
              <w:rPr>
                <w:rFonts w:hint="eastAsia" w:ascii="宋体" w:hAnsi="宋体" w:cs="宋体"/>
                <w:color w:val="auto"/>
                <w:kern w:val="0"/>
                <w:szCs w:val="21"/>
                <w:highlight w:val="none"/>
                <w:lang w:bidi="ar"/>
              </w:rPr>
            </w:pPr>
          </w:p>
        </w:tc>
        <w:tc>
          <w:tcPr>
            <w:tcW w:w="5214" w:type="dxa"/>
            <w:noWrap w:val="0"/>
            <w:vAlign w:val="center"/>
          </w:tcPr>
          <w:p w14:paraId="2BE5649E">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对</w:t>
            </w:r>
            <w:r>
              <w:rPr>
                <w:rFonts w:hint="eastAsia" w:ascii="宋体" w:hAnsi="宋体" w:cs="宋体"/>
                <w:color w:val="auto"/>
                <w:szCs w:val="21"/>
                <w:highlight w:val="none"/>
              </w:rPr>
              <w:t>条款进度统计：</w:t>
            </w:r>
          </w:p>
          <w:p w14:paraId="62401533">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能实时体现所有条款节点的当前完成情况及完成比例和所有条款节点的历史自评情况及历史自评比例，可通过数据溯源展示任务具体完成情况。</w:t>
            </w:r>
          </w:p>
        </w:tc>
        <w:tc>
          <w:tcPr>
            <w:tcW w:w="1172" w:type="dxa"/>
            <w:noWrap w:val="0"/>
            <w:vAlign w:val="center"/>
          </w:tcPr>
          <w:p w14:paraId="45198CB5">
            <w:pPr>
              <w:widowControl/>
              <w:tabs>
                <w:tab w:val="left" w:pos="286"/>
              </w:tabs>
              <w:jc w:val="left"/>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eastAsia="zh-CN" w:bidi="ar"/>
              </w:rPr>
              <w:tab/>
            </w:r>
          </w:p>
        </w:tc>
      </w:tr>
      <w:tr w14:paraId="6B3D9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0E8BC791">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91</w:t>
            </w:r>
          </w:p>
        </w:tc>
        <w:tc>
          <w:tcPr>
            <w:tcW w:w="781" w:type="dxa"/>
            <w:vMerge w:val="continue"/>
            <w:noWrap w:val="0"/>
            <w:vAlign w:val="center"/>
          </w:tcPr>
          <w:p w14:paraId="5E097983">
            <w:pPr>
              <w:widowControl/>
              <w:rPr>
                <w:rFonts w:hint="eastAsia" w:ascii="宋体" w:hAnsi="宋体" w:cs="宋体"/>
                <w:color w:val="auto"/>
                <w:szCs w:val="21"/>
                <w:highlight w:val="none"/>
              </w:rPr>
            </w:pPr>
          </w:p>
        </w:tc>
        <w:tc>
          <w:tcPr>
            <w:tcW w:w="824" w:type="dxa"/>
            <w:gridSpan w:val="2"/>
            <w:noWrap w:val="0"/>
            <w:vAlign w:val="top"/>
          </w:tcPr>
          <w:p w14:paraId="78FE6583">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条款分组统计</w:t>
            </w:r>
          </w:p>
        </w:tc>
        <w:tc>
          <w:tcPr>
            <w:tcW w:w="5214" w:type="dxa"/>
            <w:noWrap w:val="0"/>
            <w:vAlign w:val="center"/>
          </w:tcPr>
          <w:p w14:paraId="4B86FA42">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能按照条款分组实时体现相关条款的当前完成情况及完成比例和体现相关条款历史自评情况及历史自评比例，可通过数据溯源展示任务具体完成情况。</w:t>
            </w:r>
          </w:p>
        </w:tc>
        <w:tc>
          <w:tcPr>
            <w:tcW w:w="1172" w:type="dxa"/>
            <w:noWrap w:val="0"/>
            <w:vAlign w:val="center"/>
          </w:tcPr>
          <w:p w14:paraId="0C9E3433">
            <w:pPr>
              <w:widowControl/>
              <w:jc w:val="left"/>
              <w:textAlignment w:val="center"/>
              <w:rPr>
                <w:rFonts w:hint="eastAsia" w:ascii="宋体" w:hAnsi="宋体" w:cs="宋体"/>
                <w:color w:val="auto"/>
                <w:kern w:val="0"/>
                <w:szCs w:val="21"/>
                <w:highlight w:val="none"/>
                <w:lang w:bidi="ar"/>
              </w:rPr>
            </w:pPr>
          </w:p>
        </w:tc>
      </w:tr>
      <w:tr w14:paraId="1A7FF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0A59427">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92</w:t>
            </w:r>
          </w:p>
        </w:tc>
        <w:tc>
          <w:tcPr>
            <w:tcW w:w="781" w:type="dxa"/>
            <w:vMerge w:val="continue"/>
            <w:noWrap w:val="0"/>
            <w:vAlign w:val="center"/>
          </w:tcPr>
          <w:p w14:paraId="057E29CC">
            <w:pPr>
              <w:widowControl/>
              <w:rPr>
                <w:rFonts w:hint="eastAsia" w:ascii="宋体" w:hAnsi="宋体" w:cs="宋体"/>
                <w:color w:val="auto"/>
                <w:szCs w:val="21"/>
                <w:highlight w:val="none"/>
              </w:rPr>
            </w:pPr>
          </w:p>
        </w:tc>
        <w:tc>
          <w:tcPr>
            <w:tcW w:w="824" w:type="dxa"/>
            <w:gridSpan w:val="2"/>
            <w:vMerge w:val="restart"/>
            <w:noWrap w:val="0"/>
            <w:vAlign w:val="center"/>
          </w:tcPr>
          <w:p w14:paraId="3E196362">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台账管理</w:t>
            </w:r>
          </w:p>
        </w:tc>
        <w:tc>
          <w:tcPr>
            <w:tcW w:w="5214" w:type="dxa"/>
            <w:noWrap w:val="0"/>
            <w:vAlign w:val="center"/>
          </w:tcPr>
          <w:p w14:paraId="70355F13">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台账归档：</w:t>
            </w:r>
          </w:p>
          <w:p w14:paraId="3CCF42DD">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支持台账库管理，台账库内可存储医院各类制度、会议、培训、检查等资料；支持查看权限和编辑权限的设置；支持批量导入台账库文件夹；支持新建、删除、移动等操作；支持资料批量上传。台账库具有知识库管理和压缩包在线预览功能。</w:t>
            </w:r>
          </w:p>
        </w:tc>
        <w:tc>
          <w:tcPr>
            <w:tcW w:w="1172" w:type="dxa"/>
            <w:noWrap w:val="0"/>
            <w:vAlign w:val="center"/>
          </w:tcPr>
          <w:p w14:paraId="26FE555F">
            <w:pPr>
              <w:widowControl/>
              <w:jc w:val="left"/>
              <w:textAlignment w:val="center"/>
              <w:rPr>
                <w:rFonts w:hint="eastAsia" w:ascii="宋体" w:hAnsi="宋体" w:cs="宋体"/>
                <w:color w:val="auto"/>
                <w:kern w:val="0"/>
                <w:szCs w:val="21"/>
                <w:highlight w:val="none"/>
                <w:lang w:bidi="ar"/>
              </w:rPr>
            </w:pPr>
          </w:p>
        </w:tc>
      </w:tr>
      <w:tr w14:paraId="1379B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287A0898">
            <w:pPr>
              <w:widowControl/>
              <w:tabs>
                <w:tab w:val="left" w:pos="420"/>
              </w:tabs>
              <w:ind w:left="425" w:hanging="425"/>
              <w:jc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93</w:t>
            </w:r>
          </w:p>
        </w:tc>
        <w:tc>
          <w:tcPr>
            <w:tcW w:w="781" w:type="dxa"/>
            <w:vMerge w:val="continue"/>
            <w:noWrap w:val="0"/>
            <w:vAlign w:val="center"/>
          </w:tcPr>
          <w:p w14:paraId="72FF5728">
            <w:pPr>
              <w:widowControl/>
              <w:rPr>
                <w:rFonts w:hint="eastAsia" w:ascii="宋体" w:hAnsi="宋体" w:cs="宋体"/>
                <w:color w:val="auto"/>
                <w:szCs w:val="21"/>
                <w:highlight w:val="none"/>
              </w:rPr>
            </w:pPr>
          </w:p>
        </w:tc>
        <w:tc>
          <w:tcPr>
            <w:tcW w:w="824" w:type="dxa"/>
            <w:gridSpan w:val="2"/>
            <w:vMerge w:val="continue"/>
            <w:noWrap w:val="0"/>
            <w:vAlign w:val="top"/>
          </w:tcPr>
          <w:p w14:paraId="3EF4CA69">
            <w:pPr>
              <w:rPr>
                <w:rFonts w:hint="eastAsia" w:ascii="宋体" w:hAnsi="宋体" w:cs="宋体"/>
                <w:color w:val="auto"/>
                <w:kern w:val="0"/>
                <w:szCs w:val="21"/>
                <w:highlight w:val="none"/>
                <w:lang w:bidi="ar"/>
              </w:rPr>
            </w:pPr>
          </w:p>
        </w:tc>
        <w:tc>
          <w:tcPr>
            <w:tcW w:w="5214" w:type="dxa"/>
            <w:noWrap w:val="0"/>
            <w:vAlign w:val="center"/>
          </w:tcPr>
          <w:p w14:paraId="2F210615">
            <w:pPr>
              <w:widowControl/>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台账分类查阅：</w:t>
            </w:r>
          </w:p>
          <w:p w14:paraId="7CB1ECEF">
            <w:pPr>
              <w:widowControl/>
              <w:spacing w:line="400" w:lineRule="exact"/>
              <w:jc w:val="left"/>
              <w:rPr>
                <w:rFonts w:hint="eastAsia" w:ascii="宋体" w:hAnsi="宋体" w:cs="宋体"/>
                <w:color w:val="auto"/>
                <w:kern w:val="0"/>
                <w:szCs w:val="21"/>
                <w:highlight w:val="none"/>
                <w:lang w:bidi="ar"/>
              </w:rPr>
            </w:pPr>
            <w:r>
              <w:rPr>
                <w:rFonts w:hint="eastAsia" w:ascii="宋体" w:hAnsi="宋体" w:cs="宋体"/>
                <w:color w:val="auto"/>
                <w:szCs w:val="21"/>
                <w:highlight w:val="none"/>
              </w:rPr>
              <w:t>上传台账能根据电子台账档案盒分类并对应条款进行分类查阅。归档台账支持按条款编码、台账名、科室、人员、审批状态进行高级检索。</w:t>
            </w:r>
          </w:p>
        </w:tc>
        <w:tc>
          <w:tcPr>
            <w:tcW w:w="1172" w:type="dxa"/>
            <w:noWrap w:val="0"/>
            <w:vAlign w:val="center"/>
          </w:tcPr>
          <w:p w14:paraId="06ACA218">
            <w:pPr>
              <w:widowControl/>
              <w:jc w:val="left"/>
              <w:textAlignment w:val="center"/>
              <w:rPr>
                <w:rFonts w:hint="eastAsia" w:ascii="宋体" w:hAnsi="宋体" w:cs="宋体"/>
                <w:color w:val="auto"/>
                <w:kern w:val="0"/>
                <w:szCs w:val="21"/>
                <w:highlight w:val="none"/>
                <w:lang w:bidi="ar"/>
              </w:rPr>
            </w:pPr>
          </w:p>
        </w:tc>
      </w:tr>
      <w:tr w14:paraId="46BF3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52CF172D">
            <w:pP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94</w:t>
            </w:r>
          </w:p>
        </w:tc>
        <w:tc>
          <w:tcPr>
            <w:tcW w:w="781" w:type="dxa"/>
            <w:vMerge w:val="restart"/>
            <w:noWrap w:val="0"/>
            <w:vAlign w:val="center"/>
          </w:tcPr>
          <w:p w14:paraId="75D8BE5D">
            <w:pPr>
              <w:rPr>
                <w:rFonts w:hint="eastAsia" w:ascii="宋体" w:hAnsi="宋体" w:cs="宋体"/>
                <w:color w:val="auto"/>
                <w:szCs w:val="21"/>
                <w:highlight w:val="none"/>
              </w:rPr>
            </w:pPr>
            <w:r>
              <w:rPr>
                <w:rFonts w:hint="eastAsia" w:ascii="宋体" w:hAnsi="宋体" w:cs="宋体"/>
                <w:color w:val="auto"/>
                <w:szCs w:val="21"/>
                <w:highlight w:val="none"/>
              </w:rPr>
              <w:t>消息公告</w:t>
            </w:r>
          </w:p>
        </w:tc>
        <w:tc>
          <w:tcPr>
            <w:tcW w:w="824" w:type="dxa"/>
            <w:gridSpan w:val="2"/>
            <w:noWrap w:val="0"/>
            <w:vAlign w:val="center"/>
          </w:tcPr>
          <w:p w14:paraId="6CDADF8A">
            <w:pPr>
              <w:widowControl/>
              <w:rPr>
                <w:rFonts w:hint="eastAsia" w:ascii="宋体" w:hAnsi="宋体" w:cs="宋体"/>
                <w:color w:val="auto"/>
                <w:kern w:val="0"/>
                <w:szCs w:val="21"/>
                <w:highlight w:val="none"/>
                <w:lang w:bidi="ar"/>
              </w:rPr>
            </w:pPr>
            <w:r>
              <w:rPr>
                <w:rFonts w:hint="eastAsia" w:ascii="宋体" w:hAnsi="宋体" w:cs="宋体"/>
                <w:color w:val="auto"/>
                <w:szCs w:val="21"/>
                <w:highlight w:val="none"/>
              </w:rPr>
              <w:t>发布消息</w:t>
            </w:r>
          </w:p>
        </w:tc>
        <w:tc>
          <w:tcPr>
            <w:tcW w:w="5214" w:type="dxa"/>
            <w:noWrap w:val="0"/>
            <w:vAlign w:val="center"/>
          </w:tcPr>
          <w:p w14:paraId="1C3BC8DE">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可进行发布公告信息到指定范围的用户</w:t>
            </w:r>
          </w:p>
          <w:p w14:paraId="7443E85E">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公告内容支持图文、视频、超链接、附件等</w:t>
            </w:r>
          </w:p>
        </w:tc>
        <w:tc>
          <w:tcPr>
            <w:tcW w:w="1172" w:type="dxa"/>
            <w:noWrap w:val="0"/>
            <w:vAlign w:val="top"/>
          </w:tcPr>
          <w:p w14:paraId="1807E11B">
            <w:pPr>
              <w:jc w:val="left"/>
              <w:rPr>
                <w:rFonts w:hint="eastAsia" w:ascii="宋体" w:hAnsi="宋体" w:cs="宋体"/>
                <w:color w:val="auto"/>
                <w:kern w:val="0"/>
                <w:szCs w:val="21"/>
                <w:highlight w:val="none"/>
                <w:lang w:bidi="ar"/>
              </w:rPr>
            </w:pPr>
          </w:p>
        </w:tc>
      </w:tr>
      <w:tr w14:paraId="2AD0F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6596F9C">
            <w:pP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95</w:t>
            </w:r>
          </w:p>
        </w:tc>
        <w:tc>
          <w:tcPr>
            <w:tcW w:w="781" w:type="dxa"/>
            <w:vMerge w:val="continue"/>
            <w:noWrap w:val="0"/>
            <w:vAlign w:val="center"/>
          </w:tcPr>
          <w:p w14:paraId="2A031719">
            <w:pPr>
              <w:rPr>
                <w:rFonts w:hint="eastAsia" w:ascii="宋体" w:hAnsi="宋体" w:cs="宋体"/>
                <w:color w:val="auto"/>
                <w:szCs w:val="21"/>
                <w:highlight w:val="none"/>
              </w:rPr>
            </w:pPr>
          </w:p>
        </w:tc>
        <w:tc>
          <w:tcPr>
            <w:tcW w:w="824" w:type="dxa"/>
            <w:gridSpan w:val="2"/>
            <w:noWrap w:val="0"/>
            <w:vAlign w:val="center"/>
          </w:tcPr>
          <w:p w14:paraId="553F1572">
            <w:pPr>
              <w:widowControl/>
              <w:rPr>
                <w:rFonts w:hint="eastAsia" w:ascii="宋体" w:hAnsi="宋体" w:cs="宋体"/>
                <w:color w:val="auto"/>
                <w:kern w:val="0"/>
                <w:szCs w:val="21"/>
                <w:highlight w:val="none"/>
                <w:lang w:bidi="ar"/>
              </w:rPr>
            </w:pPr>
            <w:r>
              <w:rPr>
                <w:rFonts w:hint="eastAsia" w:ascii="宋体" w:hAnsi="宋体" w:cs="宋体"/>
                <w:color w:val="auto"/>
                <w:szCs w:val="21"/>
                <w:highlight w:val="none"/>
              </w:rPr>
              <w:t>我的消息</w:t>
            </w:r>
          </w:p>
        </w:tc>
        <w:tc>
          <w:tcPr>
            <w:tcW w:w="5214" w:type="dxa"/>
            <w:noWrap w:val="0"/>
            <w:vAlign w:val="center"/>
          </w:tcPr>
          <w:p w14:paraId="4528DC85">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个人用户账号接收到的所有消息的列表</w:t>
            </w:r>
          </w:p>
        </w:tc>
        <w:tc>
          <w:tcPr>
            <w:tcW w:w="1172" w:type="dxa"/>
            <w:noWrap w:val="0"/>
            <w:vAlign w:val="top"/>
          </w:tcPr>
          <w:p w14:paraId="6F341100">
            <w:pPr>
              <w:jc w:val="left"/>
              <w:rPr>
                <w:rFonts w:hint="eastAsia" w:ascii="宋体" w:hAnsi="宋体" w:cs="宋体"/>
                <w:color w:val="auto"/>
                <w:kern w:val="0"/>
                <w:szCs w:val="21"/>
                <w:highlight w:val="none"/>
                <w:lang w:bidi="ar"/>
              </w:rPr>
            </w:pPr>
          </w:p>
        </w:tc>
      </w:tr>
      <w:tr w14:paraId="1A53B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1" w:type="dxa"/>
            <w:noWrap w:val="0"/>
            <w:vAlign w:val="center"/>
          </w:tcPr>
          <w:p w14:paraId="33DB5AFF">
            <w:pP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96</w:t>
            </w:r>
          </w:p>
        </w:tc>
        <w:tc>
          <w:tcPr>
            <w:tcW w:w="781" w:type="dxa"/>
            <w:vMerge w:val="restart"/>
            <w:noWrap w:val="0"/>
            <w:vAlign w:val="center"/>
          </w:tcPr>
          <w:p w14:paraId="0D64D311">
            <w:pPr>
              <w:rPr>
                <w:rFonts w:hint="eastAsia" w:ascii="宋体" w:hAnsi="宋体" w:cs="宋体"/>
                <w:color w:val="auto"/>
                <w:szCs w:val="21"/>
                <w:highlight w:val="none"/>
              </w:rPr>
            </w:pPr>
            <w:r>
              <w:rPr>
                <w:rFonts w:hint="eastAsia" w:ascii="宋体" w:hAnsi="宋体" w:cs="宋体"/>
                <w:color w:val="auto"/>
                <w:szCs w:val="21"/>
                <w:highlight w:val="none"/>
              </w:rPr>
              <w:t>用户管理</w:t>
            </w:r>
          </w:p>
        </w:tc>
        <w:tc>
          <w:tcPr>
            <w:tcW w:w="824" w:type="dxa"/>
            <w:gridSpan w:val="2"/>
            <w:noWrap w:val="0"/>
            <w:vAlign w:val="center"/>
          </w:tcPr>
          <w:p w14:paraId="78430458">
            <w:pPr>
              <w:widowControl/>
              <w:rPr>
                <w:rFonts w:hint="eastAsia" w:ascii="宋体" w:hAnsi="宋体" w:cs="宋体"/>
                <w:color w:val="auto"/>
                <w:kern w:val="0"/>
                <w:szCs w:val="21"/>
                <w:highlight w:val="none"/>
                <w:lang w:bidi="ar"/>
              </w:rPr>
            </w:pPr>
            <w:r>
              <w:rPr>
                <w:rFonts w:hint="eastAsia" w:ascii="宋体" w:hAnsi="宋体" w:cs="宋体"/>
                <w:color w:val="auto"/>
                <w:szCs w:val="21"/>
                <w:highlight w:val="none"/>
              </w:rPr>
              <w:t>用户列表</w:t>
            </w:r>
          </w:p>
        </w:tc>
        <w:tc>
          <w:tcPr>
            <w:tcW w:w="5214" w:type="dxa"/>
            <w:noWrap w:val="0"/>
            <w:vAlign w:val="center"/>
          </w:tcPr>
          <w:p w14:paraId="282289EC">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可添加、修改、重命名、删除用户</w:t>
            </w:r>
          </w:p>
          <w:p w14:paraId="6D2FCA9D">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支持批量分配角色</w:t>
            </w:r>
          </w:p>
          <w:p w14:paraId="738DF8F0">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支持批量导入科室及人员列表</w:t>
            </w:r>
          </w:p>
          <w:p w14:paraId="77F188AF">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支持用户设置进行用户创建时账户密码规则修改及是否允许用户修改个人信息</w:t>
            </w:r>
          </w:p>
        </w:tc>
        <w:tc>
          <w:tcPr>
            <w:tcW w:w="1172" w:type="dxa"/>
            <w:noWrap w:val="0"/>
            <w:vAlign w:val="top"/>
          </w:tcPr>
          <w:p w14:paraId="00EF83CE">
            <w:pPr>
              <w:jc w:val="left"/>
              <w:rPr>
                <w:rFonts w:hint="eastAsia" w:ascii="宋体" w:hAnsi="宋体" w:cs="宋体"/>
                <w:color w:val="auto"/>
                <w:kern w:val="0"/>
                <w:szCs w:val="21"/>
                <w:highlight w:val="none"/>
                <w:lang w:bidi="ar"/>
              </w:rPr>
            </w:pPr>
          </w:p>
        </w:tc>
      </w:tr>
      <w:tr w14:paraId="470C1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4A969A32">
            <w:pP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97</w:t>
            </w:r>
          </w:p>
        </w:tc>
        <w:tc>
          <w:tcPr>
            <w:tcW w:w="781" w:type="dxa"/>
            <w:vMerge w:val="continue"/>
            <w:noWrap w:val="0"/>
            <w:vAlign w:val="center"/>
          </w:tcPr>
          <w:p w14:paraId="2CEC4889">
            <w:pPr>
              <w:rPr>
                <w:rFonts w:hint="eastAsia" w:ascii="宋体" w:hAnsi="宋体" w:cs="宋体"/>
                <w:color w:val="auto"/>
                <w:szCs w:val="21"/>
                <w:highlight w:val="none"/>
              </w:rPr>
            </w:pPr>
          </w:p>
        </w:tc>
        <w:tc>
          <w:tcPr>
            <w:tcW w:w="824" w:type="dxa"/>
            <w:gridSpan w:val="2"/>
            <w:noWrap w:val="0"/>
            <w:vAlign w:val="center"/>
          </w:tcPr>
          <w:p w14:paraId="10D2DB87">
            <w:pPr>
              <w:widowControl/>
              <w:rPr>
                <w:rFonts w:hint="eastAsia" w:ascii="宋体" w:hAnsi="宋体" w:cs="宋体"/>
                <w:color w:val="auto"/>
                <w:kern w:val="0"/>
                <w:szCs w:val="21"/>
                <w:highlight w:val="none"/>
                <w:lang w:bidi="ar"/>
              </w:rPr>
            </w:pPr>
            <w:r>
              <w:rPr>
                <w:rFonts w:hint="eastAsia" w:ascii="宋体" w:hAnsi="宋体" w:cs="宋体"/>
                <w:color w:val="auto"/>
                <w:szCs w:val="21"/>
                <w:highlight w:val="none"/>
              </w:rPr>
              <w:t>部门管理</w:t>
            </w:r>
          </w:p>
        </w:tc>
        <w:tc>
          <w:tcPr>
            <w:tcW w:w="5214" w:type="dxa"/>
            <w:noWrap w:val="0"/>
            <w:vAlign w:val="center"/>
          </w:tcPr>
          <w:p w14:paraId="55E60C49">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支持部门科室导入、对应编码关系</w:t>
            </w:r>
          </w:p>
          <w:p w14:paraId="67BD318D">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接口允许下可支持自动同步用户部门信息</w:t>
            </w:r>
          </w:p>
        </w:tc>
        <w:tc>
          <w:tcPr>
            <w:tcW w:w="1172" w:type="dxa"/>
            <w:noWrap w:val="0"/>
            <w:vAlign w:val="top"/>
          </w:tcPr>
          <w:p w14:paraId="3BD67DDD">
            <w:pPr>
              <w:jc w:val="left"/>
              <w:rPr>
                <w:rFonts w:hint="eastAsia" w:ascii="宋体" w:hAnsi="宋体" w:cs="宋体"/>
                <w:color w:val="auto"/>
                <w:kern w:val="0"/>
                <w:szCs w:val="21"/>
                <w:highlight w:val="none"/>
                <w:lang w:bidi="ar"/>
              </w:rPr>
            </w:pPr>
          </w:p>
        </w:tc>
      </w:tr>
      <w:tr w14:paraId="32EA6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3360A1CC">
            <w:pP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98</w:t>
            </w:r>
          </w:p>
        </w:tc>
        <w:tc>
          <w:tcPr>
            <w:tcW w:w="781" w:type="dxa"/>
            <w:vMerge w:val="continue"/>
            <w:noWrap w:val="0"/>
            <w:vAlign w:val="center"/>
          </w:tcPr>
          <w:p w14:paraId="283A76FF">
            <w:pPr>
              <w:rPr>
                <w:rFonts w:hint="eastAsia" w:ascii="宋体" w:hAnsi="宋体" w:cs="宋体"/>
                <w:color w:val="auto"/>
                <w:szCs w:val="21"/>
                <w:highlight w:val="none"/>
              </w:rPr>
            </w:pPr>
          </w:p>
        </w:tc>
        <w:tc>
          <w:tcPr>
            <w:tcW w:w="824" w:type="dxa"/>
            <w:gridSpan w:val="2"/>
            <w:noWrap w:val="0"/>
            <w:vAlign w:val="center"/>
          </w:tcPr>
          <w:p w14:paraId="440F074E">
            <w:pPr>
              <w:widowControl/>
              <w:rPr>
                <w:rFonts w:hint="eastAsia" w:ascii="宋体" w:hAnsi="宋体" w:cs="宋体"/>
                <w:color w:val="auto"/>
                <w:kern w:val="0"/>
                <w:szCs w:val="21"/>
                <w:highlight w:val="none"/>
                <w:lang w:bidi="ar"/>
              </w:rPr>
            </w:pPr>
            <w:r>
              <w:rPr>
                <w:rFonts w:hint="eastAsia" w:ascii="宋体" w:hAnsi="宋体" w:cs="宋体"/>
                <w:color w:val="auto"/>
                <w:szCs w:val="21"/>
                <w:highlight w:val="none"/>
              </w:rPr>
              <w:t>角色管理</w:t>
            </w:r>
          </w:p>
        </w:tc>
        <w:tc>
          <w:tcPr>
            <w:tcW w:w="5214" w:type="dxa"/>
            <w:noWrap w:val="0"/>
            <w:vAlign w:val="center"/>
          </w:tcPr>
          <w:p w14:paraId="71730EC5">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支持多角色、多层级的管理模式</w:t>
            </w:r>
          </w:p>
          <w:p w14:paraId="1AE1D524">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支持自定义新建、修改、删除角色</w:t>
            </w:r>
          </w:p>
          <w:p w14:paraId="7626F4C8">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支持自定义角色权限</w:t>
            </w:r>
          </w:p>
        </w:tc>
        <w:tc>
          <w:tcPr>
            <w:tcW w:w="1172" w:type="dxa"/>
            <w:noWrap w:val="0"/>
            <w:vAlign w:val="top"/>
          </w:tcPr>
          <w:p w14:paraId="5D6E5C73">
            <w:pPr>
              <w:jc w:val="left"/>
              <w:rPr>
                <w:rFonts w:hint="eastAsia" w:ascii="宋体" w:hAnsi="宋体" w:cs="宋体"/>
                <w:color w:val="auto"/>
                <w:kern w:val="0"/>
                <w:szCs w:val="21"/>
                <w:highlight w:val="none"/>
                <w:lang w:bidi="ar"/>
              </w:rPr>
            </w:pPr>
          </w:p>
        </w:tc>
      </w:tr>
      <w:tr w14:paraId="43D6F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5A808F51">
            <w:pP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rPr>
              <w:t>99</w:t>
            </w:r>
          </w:p>
        </w:tc>
        <w:tc>
          <w:tcPr>
            <w:tcW w:w="781" w:type="dxa"/>
            <w:noWrap w:val="0"/>
            <w:vAlign w:val="center"/>
          </w:tcPr>
          <w:p w14:paraId="7FBF7AB7">
            <w:pPr>
              <w:rPr>
                <w:rFonts w:hint="eastAsia" w:ascii="宋体" w:hAnsi="宋体" w:cs="宋体"/>
                <w:color w:val="auto"/>
                <w:szCs w:val="21"/>
                <w:highlight w:val="none"/>
              </w:rPr>
            </w:pPr>
            <w:r>
              <w:rPr>
                <w:rFonts w:hint="eastAsia" w:ascii="宋体" w:hAnsi="宋体" w:cs="宋体"/>
                <w:color w:val="auto"/>
                <w:szCs w:val="21"/>
                <w:highlight w:val="none"/>
              </w:rPr>
              <w:t>手机版本</w:t>
            </w:r>
          </w:p>
        </w:tc>
        <w:tc>
          <w:tcPr>
            <w:tcW w:w="824" w:type="dxa"/>
            <w:gridSpan w:val="2"/>
            <w:noWrap w:val="0"/>
            <w:vAlign w:val="center"/>
          </w:tcPr>
          <w:p w14:paraId="6ED5E684">
            <w:pPr>
              <w:widowControl/>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手机</w:t>
            </w:r>
            <w:r>
              <w:rPr>
                <w:rFonts w:hint="eastAsia" w:ascii="宋体" w:hAnsi="宋体" w:cs="宋体"/>
                <w:color w:val="auto"/>
                <w:szCs w:val="21"/>
                <w:highlight w:val="none"/>
                <w:lang w:val="en-US" w:eastAsia="zh-CN"/>
              </w:rPr>
              <w:t>展示功能</w:t>
            </w:r>
          </w:p>
        </w:tc>
        <w:tc>
          <w:tcPr>
            <w:tcW w:w="5214" w:type="dxa"/>
            <w:noWrap w:val="0"/>
            <w:vAlign w:val="center"/>
          </w:tcPr>
          <w:p w14:paraId="5C17938C">
            <w:pPr>
              <w:pStyle w:val="21"/>
              <w:widowControl/>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有苹果</w:t>
            </w:r>
            <w:r>
              <w:rPr>
                <w:rFonts w:hint="eastAsia" w:ascii="宋体" w:hAnsi="宋体" w:cs="宋体"/>
                <w:color w:val="auto"/>
                <w:szCs w:val="21"/>
                <w:highlight w:val="none"/>
                <w:lang w:eastAsia="zh-CN"/>
              </w:rPr>
              <w:t>、</w:t>
            </w:r>
            <w:r>
              <w:rPr>
                <w:rFonts w:hint="eastAsia" w:ascii="宋体" w:hAnsi="宋体" w:cs="宋体"/>
                <w:color w:val="auto"/>
                <w:szCs w:val="21"/>
                <w:highlight w:val="none"/>
              </w:rPr>
              <w:t>安卓等多个版本的手机独立app，可以直接安装到手机上，</w:t>
            </w:r>
            <w:r>
              <w:rPr>
                <w:rFonts w:hint="eastAsia" w:ascii="宋体" w:hAnsi="宋体" w:cs="宋体"/>
                <w:color w:val="auto"/>
                <w:szCs w:val="21"/>
                <w:highlight w:val="none"/>
                <w:lang w:val="en-US" w:eastAsia="zh-CN"/>
              </w:rPr>
              <w:t>查看任务进度和指标结果</w:t>
            </w:r>
            <w:r>
              <w:rPr>
                <w:rFonts w:hint="eastAsia" w:ascii="宋体" w:hAnsi="宋体" w:cs="宋体"/>
                <w:color w:val="auto"/>
                <w:szCs w:val="21"/>
                <w:highlight w:val="none"/>
              </w:rPr>
              <w:t>。</w:t>
            </w:r>
          </w:p>
        </w:tc>
        <w:tc>
          <w:tcPr>
            <w:tcW w:w="1172" w:type="dxa"/>
            <w:noWrap w:val="0"/>
            <w:vAlign w:val="center"/>
          </w:tcPr>
          <w:p w14:paraId="0FBE6E8C">
            <w:pPr>
              <w:jc w:val="left"/>
              <w:rPr>
                <w:rFonts w:hint="eastAsia" w:ascii="宋体" w:hAnsi="宋体" w:cs="宋体"/>
                <w:color w:val="auto"/>
                <w:szCs w:val="21"/>
                <w:highlight w:val="none"/>
                <w:lang w:val="en-US" w:eastAsia="zh-CN"/>
              </w:rPr>
            </w:pPr>
          </w:p>
        </w:tc>
      </w:tr>
      <w:tr w14:paraId="1DE05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1" w:type="dxa"/>
            <w:noWrap w:val="0"/>
            <w:vAlign w:val="center"/>
          </w:tcPr>
          <w:p w14:paraId="65233355">
            <w:pP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100</w:t>
            </w:r>
          </w:p>
        </w:tc>
        <w:tc>
          <w:tcPr>
            <w:tcW w:w="781" w:type="dxa"/>
            <w:noWrap w:val="0"/>
            <w:vAlign w:val="center"/>
          </w:tcPr>
          <w:p w14:paraId="32378A43">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接口扩展功能</w:t>
            </w:r>
          </w:p>
        </w:tc>
        <w:tc>
          <w:tcPr>
            <w:tcW w:w="824" w:type="dxa"/>
            <w:gridSpan w:val="2"/>
            <w:noWrap w:val="0"/>
            <w:vAlign w:val="center"/>
          </w:tcPr>
          <w:p w14:paraId="328F3D82">
            <w:pPr>
              <w:widowControl/>
              <w:rPr>
                <w:rFonts w:hint="default"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▲系</w:t>
            </w:r>
            <w:r>
              <w:rPr>
                <w:rFonts w:hint="eastAsia" w:ascii="宋体" w:hAnsi="宋体" w:cs="宋体"/>
                <w:color w:val="auto"/>
                <w:szCs w:val="21"/>
                <w:highlight w:val="none"/>
                <w:lang w:val="en-US" w:eastAsia="zh-CN"/>
              </w:rPr>
              <w:t>统扩展接口</w:t>
            </w:r>
          </w:p>
        </w:tc>
        <w:tc>
          <w:tcPr>
            <w:tcW w:w="5214" w:type="dxa"/>
            <w:noWrap w:val="0"/>
            <w:vAlign w:val="center"/>
          </w:tcPr>
          <w:p w14:paraId="24F5A481">
            <w:pPr>
              <w:pStyle w:val="21"/>
              <w:widowControl/>
              <w:ind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预留接口，根据广西壮族自治区全民健康信息平台、广西医院等级评审系统等有关平台系统要求，进行扩展对接，可进行数据填报或传输。</w:t>
            </w:r>
          </w:p>
        </w:tc>
        <w:tc>
          <w:tcPr>
            <w:tcW w:w="1172" w:type="dxa"/>
            <w:noWrap w:val="0"/>
            <w:vAlign w:val="top"/>
          </w:tcPr>
          <w:p w14:paraId="1A8EBC74">
            <w:pPr>
              <w:rPr>
                <w:rFonts w:hint="eastAsia" w:ascii="宋体" w:hAnsi="宋体" w:cs="宋体"/>
                <w:color w:val="auto"/>
                <w:kern w:val="0"/>
                <w:szCs w:val="21"/>
                <w:highlight w:val="none"/>
                <w:lang w:bidi="ar"/>
              </w:rPr>
            </w:pPr>
          </w:p>
        </w:tc>
      </w:tr>
    </w:tbl>
    <w:p w14:paraId="5D5A894F">
      <w:pPr>
        <w:keepNext w:val="0"/>
        <w:keepLines w:val="0"/>
        <w:pageBreakBefore w:val="0"/>
        <w:widowControl w:val="0"/>
        <w:numPr>
          <w:ilvl w:val="0"/>
          <w:numId w:val="0"/>
        </w:numPr>
        <w:kinsoku/>
        <w:wordWrap/>
        <w:overflowPunct/>
        <w:topLinePunct w:val="0"/>
        <w:autoSpaceDE/>
        <w:autoSpaceDN/>
        <w:bidi w:val="0"/>
        <w:adjustRightInd/>
        <w:spacing w:line="360" w:lineRule="auto"/>
        <w:jc w:val="left"/>
        <w:textAlignment w:val="auto"/>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（二）其他要求</w:t>
      </w:r>
    </w:p>
    <w:p w14:paraId="0E493F10">
      <w:pPr>
        <w:keepNext w:val="0"/>
        <w:keepLines w:val="0"/>
        <w:pageBreakBefore w:val="0"/>
        <w:widowControl w:val="0"/>
        <w:numPr>
          <w:ilvl w:val="0"/>
          <w:numId w:val="1"/>
        </w:numPr>
        <w:kinsoku/>
        <w:wordWrap/>
        <w:overflowPunct/>
        <w:topLinePunct w:val="0"/>
        <w:autoSpaceDE/>
        <w:autoSpaceDN/>
        <w:bidi w:val="0"/>
        <w:adjustRightInd/>
        <w:spacing w:line="360" w:lineRule="auto"/>
        <w:ind w:firstLine="482" w:firstLineChars="200"/>
        <w:jc w:val="left"/>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技术参数</w:t>
      </w:r>
    </w:p>
    <w:p w14:paraId="7A20B448">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szCs w:val="21"/>
          <w:highlight w:val="none"/>
        </w:rPr>
        <w:t>标注▲</w:t>
      </w:r>
      <w:r>
        <w:rPr>
          <w:rFonts w:hint="eastAsia" w:ascii="宋体" w:hAnsi="宋体" w:cs="宋体"/>
          <w:color w:val="auto"/>
          <w:highlight w:val="none"/>
        </w:rPr>
        <w:t>(共</w:t>
      </w:r>
      <w:r>
        <w:rPr>
          <w:rFonts w:hint="eastAsia" w:ascii="宋体" w:hAnsi="宋体" w:cs="宋体"/>
          <w:color w:val="auto"/>
          <w:highlight w:val="none"/>
          <w:lang w:val="en-US" w:eastAsia="zh-CN"/>
        </w:rPr>
        <w:t>12</w:t>
      </w:r>
      <w:r>
        <w:rPr>
          <w:rFonts w:hint="eastAsia" w:ascii="宋体" w:hAnsi="宋体" w:cs="宋体"/>
          <w:color w:val="auto"/>
          <w:highlight w:val="none"/>
        </w:rPr>
        <w:t>项)</w:t>
      </w:r>
      <w:r>
        <w:rPr>
          <w:rFonts w:hint="eastAsia" w:ascii="宋体" w:hAnsi="宋体" w:cs="宋体"/>
          <w:color w:val="auto"/>
          <w:szCs w:val="21"/>
          <w:highlight w:val="none"/>
        </w:rPr>
        <w:t>为重要技术参数及性能配置要求必须满足，如有要求提供相关证明，必须提供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否则</w:t>
      </w:r>
      <w:r>
        <w:rPr>
          <w:rFonts w:hint="eastAsia" w:ascii="宋体" w:hAnsi="宋体" w:cs="宋体"/>
          <w:color w:val="auto"/>
          <w:szCs w:val="21"/>
          <w:highlight w:val="none"/>
        </w:rPr>
        <w:t>取消谈判资格。</w:t>
      </w:r>
    </w:p>
    <w:p w14:paraId="2842CD70">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响应文件中响应的技术参数满足采购交件采购需求表中</w:t>
      </w:r>
      <w:r>
        <w:rPr>
          <w:rFonts w:hint="eastAsia" w:ascii="宋体" w:hAnsi="宋体" w:cs="宋体"/>
          <w:color w:val="auto"/>
          <w:highlight w:val="none"/>
          <w:lang w:val="en-US" w:eastAsia="zh-CN"/>
        </w:rPr>
        <w:t>所有</w:t>
      </w:r>
      <w:r>
        <w:rPr>
          <w:rFonts w:hint="eastAsia" w:ascii="宋体" w:hAnsi="宋体" w:cs="宋体"/>
          <w:color w:val="auto"/>
          <w:highlight w:val="none"/>
        </w:rPr>
        <w:t>技术参数</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偏离数大于20条</w:t>
      </w:r>
      <w:r>
        <w:rPr>
          <w:rFonts w:hint="eastAsia" w:ascii="宋体" w:hAnsi="宋体" w:cs="宋体"/>
          <w:color w:val="auto"/>
          <w:szCs w:val="21"/>
          <w:highlight w:val="none"/>
        </w:rPr>
        <w:t>取消谈判资格。</w:t>
      </w:r>
    </w:p>
    <w:p w14:paraId="44A5B79D">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bCs w:val="0"/>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b/>
          <w:bCs w:val="0"/>
          <w:color w:val="auto"/>
          <w:szCs w:val="21"/>
          <w:highlight w:val="none"/>
        </w:rPr>
        <w:t>功能要求提供系统操作演示（PPT或视频演示不得分）：</w:t>
      </w:r>
    </w:p>
    <w:p w14:paraId="5F3A63B1">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指标体系界面</w:t>
      </w:r>
      <w:r>
        <w:rPr>
          <w:rFonts w:hint="eastAsia" w:ascii="宋体" w:hAnsi="宋体" w:eastAsia="宋体" w:cs="宋体"/>
          <w:bCs/>
          <w:color w:val="auto"/>
          <w:szCs w:val="21"/>
          <w:highlight w:val="none"/>
        </w:rPr>
        <w:t>；</w:t>
      </w:r>
    </w:p>
    <w:p w14:paraId="6E2728B6">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2）指标解读功能</w:t>
      </w:r>
      <w:r>
        <w:rPr>
          <w:rFonts w:hint="eastAsia" w:ascii="宋体" w:hAnsi="宋体" w:eastAsia="宋体" w:cs="宋体"/>
          <w:bCs/>
          <w:color w:val="auto"/>
          <w:szCs w:val="21"/>
          <w:highlight w:val="none"/>
        </w:rPr>
        <w:t>；</w:t>
      </w:r>
    </w:p>
    <w:p w14:paraId="78E6FE4D">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3）指标拓展功能</w:t>
      </w:r>
      <w:r>
        <w:rPr>
          <w:rFonts w:hint="eastAsia" w:ascii="宋体" w:hAnsi="宋体" w:eastAsia="宋体" w:cs="宋体"/>
          <w:bCs/>
          <w:color w:val="auto"/>
          <w:szCs w:val="21"/>
          <w:highlight w:val="none"/>
        </w:rPr>
        <w:t>；</w:t>
      </w:r>
    </w:p>
    <w:p w14:paraId="0CDF39D7">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4）数据三级钻取功能</w:t>
      </w:r>
      <w:r>
        <w:rPr>
          <w:rFonts w:hint="eastAsia" w:ascii="宋体" w:hAnsi="宋体" w:eastAsia="宋体" w:cs="宋体"/>
          <w:bCs/>
          <w:color w:val="auto"/>
          <w:szCs w:val="21"/>
          <w:highlight w:val="none"/>
        </w:rPr>
        <w:t>；</w:t>
      </w:r>
    </w:p>
    <w:p w14:paraId="3ECE7938">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5）文档查阅功能</w:t>
      </w:r>
      <w:r>
        <w:rPr>
          <w:rFonts w:hint="eastAsia" w:ascii="宋体" w:hAnsi="宋体" w:eastAsia="宋体" w:cs="宋体"/>
          <w:bCs/>
          <w:color w:val="auto"/>
          <w:szCs w:val="21"/>
          <w:highlight w:val="none"/>
        </w:rPr>
        <w:t>；</w:t>
      </w:r>
    </w:p>
    <w:p w14:paraId="48EF1128">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6）数据溯源功能</w:t>
      </w:r>
      <w:r>
        <w:rPr>
          <w:rFonts w:hint="eastAsia" w:ascii="宋体" w:hAnsi="宋体" w:eastAsia="宋体" w:cs="宋体"/>
          <w:bCs/>
          <w:color w:val="auto"/>
          <w:szCs w:val="21"/>
          <w:highlight w:val="none"/>
        </w:rPr>
        <w:t>；</w:t>
      </w:r>
    </w:p>
    <w:p w14:paraId="7FEF9A2E">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20" w:firstLineChars="2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7）驾驶舱功能</w:t>
      </w:r>
      <w:r>
        <w:rPr>
          <w:rFonts w:hint="eastAsia" w:ascii="宋体" w:hAnsi="宋体" w:eastAsia="宋体" w:cs="宋体"/>
          <w:bCs/>
          <w:color w:val="auto"/>
          <w:szCs w:val="21"/>
          <w:highlight w:val="none"/>
        </w:rPr>
        <w:t>；</w:t>
      </w:r>
    </w:p>
    <w:p w14:paraId="27EB5A33">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20" w:firstLineChars="200"/>
        <w:jc w:val="left"/>
        <w:textAlignment w:val="auto"/>
        <w:rPr>
          <w:rFonts w:hint="eastAsia" w:cs="宋体" w:asciiTheme="majorEastAsia" w:hAnsiTheme="majorEastAsia" w:eastAsiaTheme="majorEastAsia"/>
          <w:color w:val="auto"/>
          <w:szCs w:val="21"/>
          <w:highlight w:val="none"/>
          <w:lang w:val="en-US" w:eastAsia="zh-CN"/>
        </w:rPr>
      </w:pPr>
      <w:r>
        <w:rPr>
          <w:rFonts w:hint="eastAsia" w:ascii="宋体" w:hAnsi="宋体" w:eastAsia="宋体" w:cs="宋体"/>
          <w:b w:val="0"/>
          <w:bCs/>
          <w:color w:val="auto"/>
          <w:szCs w:val="21"/>
          <w:highlight w:val="none"/>
          <w:lang w:val="en-US" w:eastAsia="zh-CN"/>
        </w:rPr>
        <w:t>8）文件归档及备份功能</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55F8151F">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left"/>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2.企业实力</w:t>
      </w:r>
    </w:p>
    <w:p w14:paraId="2992BEB8">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420" w:firstLineChars="200"/>
        <w:jc w:val="left"/>
        <w:textAlignment w:val="auto"/>
        <w:rPr>
          <w:rFonts w:hint="default" w:hAnsi="宋体" w:cs="宋体"/>
          <w:b/>
          <w:bCs/>
          <w:color w:val="auto"/>
          <w:highlight w:val="none"/>
          <w:lang w:val="en-US"/>
        </w:rPr>
      </w:pPr>
      <w:r>
        <w:rPr>
          <w:rFonts w:hint="eastAsia" w:hAnsi="宋体" w:cs="宋体"/>
          <w:b w:val="0"/>
          <w:bCs w:val="0"/>
          <w:color w:val="auto"/>
          <w:highlight w:val="none"/>
          <w:lang w:eastAsia="zh-CN"/>
        </w:rPr>
        <w:t>（</w:t>
      </w:r>
      <w:r>
        <w:rPr>
          <w:rFonts w:hint="eastAsia" w:hAnsi="宋体" w:cs="宋体"/>
          <w:b w:val="0"/>
          <w:bCs w:val="0"/>
          <w:color w:val="auto"/>
          <w:highlight w:val="none"/>
          <w:lang w:val="en-US" w:eastAsia="zh-CN"/>
        </w:rPr>
        <w:t>1</w:t>
      </w:r>
      <w:r>
        <w:rPr>
          <w:rFonts w:hint="eastAsia" w:hAnsi="宋体" w:cs="宋体"/>
          <w:b w:val="0"/>
          <w:bCs w:val="0"/>
          <w:color w:val="auto"/>
          <w:highlight w:val="none"/>
          <w:lang w:eastAsia="zh-CN"/>
        </w:rPr>
        <w:t>）</w:t>
      </w:r>
      <w:r>
        <w:rPr>
          <w:rFonts w:hint="eastAsia" w:ascii="宋体" w:hAnsi="宋体" w:cs="宋体"/>
          <w:bCs/>
          <w:color w:val="auto"/>
          <w:szCs w:val="21"/>
          <w:highlight w:val="none"/>
          <w:lang w:val="en-US" w:eastAsia="zh-CN"/>
        </w:rPr>
        <w:t>本地化服务能力：公司在南宁或者在南宁设有分公司或办事处，具备本地化服务团队，</w:t>
      </w:r>
      <w:r>
        <w:rPr>
          <w:rFonts w:hint="eastAsia" w:hAnsi="宋体" w:cs="宋体"/>
          <w:b w:val="0"/>
          <w:bCs/>
          <w:color w:val="auto"/>
          <w:highlight w:val="none"/>
          <w:lang w:val="en-US" w:eastAsia="zh-CN"/>
        </w:rPr>
        <w:t>且有至少4名常驻运营工程师</w:t>
      </w:r>
      <w:r>
        <w:rPr>
          <w:rFonts w:hint="eastAsia" w:ascii="宋体" w:hAnsi="宋体" w:cs="宋体"/>
          <w:bCs/>
          <w:color w:val="auto"/>
          <w:szCs w:val="21"/>
          <w:highlight w:val="none"/>
          <w:lang w:val="en-US" w:eastAsia="zh-CN"/>
        </w:rPr>
        <w:t>。</w:t>
      </w:r>
    </w:p>
    <w:p w14:paraId="15DC113D">
      <w:pPr>
        <w:pStyle w:val="15"/>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Ansi="宋体" w:cs="宋体"/>
          <w:b w:val="0"/>
          <w:bCs/>
          <w:color w:val="auto"/>
          <w:highlight w:val="none"/>
        </w:rPr>
      </w:pPr>
      <w:r>
        <w:rPr>
          <w:rFonts w:hint="eastAsia" w:hAnsi="宋体" w:cs="宋体"/>
          <w:b w:val="0"/>
          <w:bCs/>
          <w:color w:val="auto"/>
          <w:highlight w:val="none"/>
          <w:lang w:eastAsia="zh-CN"/>
        </w:rPr>
        <w:t>（</w:t>
      </w:r>
      <w:r>
        <w:rPr>
          <w:rFonts w:hint="eastAsia" w:hAnsi="宋体" w:cs="宋体"/>
          <w:b w:val="0"/>
          <w:bCs/>
          <w:color w:val="auto"/>
          <w:highlight w:val="none"/>
          <w:lang w:val="en-US" w:eastAsia="zh-CN"/>
        </w:rPr>
        <w:t>2</w:t>
      </w:r>
      <w:r>
        <w:rPr>
          <w:rFonts w:hint="eastAsia" w:hAnsi="宋体" w:cs="宋体"/>
          <w:b w:val="0"/>
          <w:bCs/>
          <w:color w:val="auto"/>
          <w:highlight w:val="none"/>
          <w:lang w:eastAsia="zh-CN"/>
        </w:rPr>
        <w:t>）</w:t>
      </w:r>
      <w:r>
        <w:rPr>
          <w:rFonts w:hint="eastAsia" w:hAnsi="宋体" w:cs="宋体"/>
          <w:b w:val="0"/>
          <w:bCs/>
          <w:color w:val="auto"/>
          <w:highlight w:val="none"/>
        </w:rPr>
        <w:t>供应商具有中国网络安全审查技术与认证中心或中国信息安全测评中心颁发的有效的信息系统安全集成、软件安全开发、信息安全应急处理、信息系统安全运维服务资质认证证书。</w:t>
      </w:r>
    </w:p>
    <w:p w14:paraId="70A423AD">
      <w:pPr>
        <w:keepNext w:val="0"/>
        <w:keepLines w:val="0"/>
        <w:pageBreakBefore w:val="0"/>
        <w:widowControl w:val="0"/>
        <w:kinsoku/>
        <w:wordWrap/>
        <w:overflowPunct/>
        <w:topLinePunct w:val="0"/>
        <w:autoSpaceDE/>
        <w:autoSpaceDN/>
        <w:bidi w:val="0"/>
        <w:adjustRightInd/>
        <w:ind w:firstLine="420" w:firstLineChars="200"/>
        <w:jc w:val="left"/>
        <w:textAlignment w:val="auto"/>
        <w:rPr>
          <w:rFonts w:hint="eastAsia" w:ascii="宋体" w:hAnsi="宋体" w:cs="宋体"/>
          <w:color w:val="auto"/>
          <w:szCs w:val="21"/>
          <w:highlight w:val="none"/>
        </w:rPr>
      </w:pPr>
      <w:r>
        <w:rPr>
          <w:rFonts w:hint="eastAsia" w:hAnsi="宋体" w:cs="宋体"/>
          <w:b w:val="0"/>
          <w:bCs/>
          <w:color w:val="auto"/>
          <w:highlight w:val="none"/>
          <w:lang w:val="en-US" w:eastAsia="zh-CN"/>
        </w:rPr>
        <w:t>（3）</w:t>
      </w:r>
      <w:r>
        <w:rPr>
          <w:rFonts w:hint="eastAsia" w:ascii="宋体" w:hAnsi="宋体" w:cs="宋体"/>
          <w:b w:val="0"/>
          <w:bCs/>
          <w:color w:val="auto"/>
          <w:szCs w:val="21"/>
          <w:highlight w:val="none"/>
        </w:rPr>
        <w:t>有国家版权局关于等级评审的软件著作权证书</w:t>
      </w:r>
      <w:r>
        <w:rPr>
          <w:rFonts w:hint="eastAsia" w:ascii="宋体" w:hAnsi="宋体" w:cs="宋体"/>
          <w:color w:val="auto"/>
          <w:szCs w:val="21"/>
          <w:highlight w:val="none"/>
        </w:rPr>
        <w:t>。</w:t>
      </w:r>
    </w:p>
    <w:p w14:paraId="061ECE68">
      <w:pPr>
        <w:keepNext w:val="0"/>
        <w:keepLines w:val="0"/>
        <w:pageBreakBefore w:val="0"/>
        <w:widowControl w:val="0"/>
        <w:kinsoku/>
        <w:wordWrap/>
        <w:overflowPunct/>
        <w:topLinePunct w:val="0"/>
        <w:autoSpaceDE/>
        <w:autoSpaceDN/>
        <w:bidi w:val="0"/>
        <w:adjustRightInd/>
        <w:ind w:firstLine="420" w:firstLineChars="200"/>
        <w:jc w:val="left"/>
        <w:textAlignment w:val="auto"/>
        <w:rPr>
          <w:rFonts w:hint="eastAsia" w:ascii="宋体" w:hAnsi="宋体" w:cs="Courier New"/>
          <w:b w:val="0"/>
          <w:bCs w:val="0"/>
          <w:color w:val="auto"/>
          <w:szCs w:val="21"/>
          <w:highlight w:val="none"/>
        </w:rPr>
      </w:pPr>
      <w:r>
        <w:rPr>
          <w:rFonts w:hint="eastAsia" w:ascii="宋体" w:hAnsi="宋体" w:cs="宋体"/>
          <w:b w:val="0"/>
          <w:bCs w:val="0"/>
          <w:color w:val="auto"/>
          <w:szCs w:val="21"/>
          <w:highlight w:val="none"/>
          <w:lang w:val="en-US" w:eastAsia="zh-CN"/>
        </w:rPr>
        <w:t>（4）</w:t>
      </w:r>
      <w:r>
        <w:rPr>
          <w:rFonts w:hint="eastAsia" w:ascii="宋体" w:hAnsi="宋体" w:cs="Courier New"/>
          <w:b w:val="0"/>
          <w:bCs w:val="0"/>
          <w:color w:val="auto"/>
          <w:szCs w:val="21"/>
          <w:highlight w:val="none"/>
        </w:rPr>
        <w:t>投入本项目的服务人员</w:t>
      </w:r>
    </w:p>
    <w:p w14:paraId="7BE9A944">
      <w:pPr>
        <w:pStyle w:val="15"/>
        <w:keepNext w:val="0"/>
        <w:keepLines w:val="0"/>
        <w:pageBreakBefore w:val="0"/>
        <w:widowControl w:val="0"/>
        <w:kinsoku/>
        <w:wordWrap/>
        <w:overflowPunct/>
        <w:topLinePunct w:val="0"/>
        <w:autoSpaceDE/>
        <w:autoSpaceDN/>
        <w:bidi w:val="0"/>
        <w:adjustRightInd/>
        <w:spacing w:line="288" w:lineRule="auto"/>
        <w:ind w:firstLine="420" w:firstLineChars="200"/>
        <w:jc w:val="left"/>
        <w:textAlignment w:val="auto"/>
        <w:rPr>
          <w:rFonts w:hint="eastAsia" w:ascii="宋体" w:hAnsi="宋体" w:cs="Courier New"/>
          <w:b w:val="0"/>
          <w:bCs w:val="0"/>
          <w:color w:val="auto"/>
          <w:szCs w:val="21"/>
          <w:highlight w:val="none"/>
        </w:rPr>
      </w:pPr>
      <w:r>
        <w:rPr>
          <w:rFonts w:hint="eastAsia" w:ascii="宋体" w:hAnsi="宋体" w:cs="Courier New"/>
          <w:b w:val="0"/>
          <w:bCs w:val="0"/>
          <w:color w:val="auto"/>
          <w:szCs w:val="21"/>
          <w:highlight w:val="none"/>
          <w:rtl w:val="0"/>
          <w:lang w:val="en-US" w:eastAsia="zh-CN"/>
        </w:rPr>
        <w:t>1</w:t>
      </w:r>
      <w:r>
        <w:rPr>
          <w:rFonts w:hint="eastAsia" w:hAnsi="宋体" w:cs="Courier New"/>
          <w:b w:val="0"/>
          <w:bCs w:val="0"/>
          <w:color w:val="auto"/>
          <w:szCs w:val="21"/>
          <w:highlight w:val="none"/>
          <w:rtl w:val="0"/>
          <w:lang w:val="en-US" w:eastAsia="zh-CN"/>
        </w:rPr>
        <w:t>）</w:t>
      </w:r>
      <w:r>
        <w:rPr>
          <w:rFonts w:hint="eastAsia" w:ascii="宋体" w:hAnsi="宋体" w:cs="Courier New"/>
          <w:b w:val="0"/>
          <w:bCs w:val="0"/>
          <w:color w:val="auto"/>
          <w:szCs w:val="21"/>
          <w:highlight w:val="none"/>
          <w:rtl w:val="0"/>
          <w:lang w:val="en-US" w:eastAsia="zh-CN"/>
        </w:rPr>
        <w:t>项目团队中（不含项目经理），具有信息系统项目管理师证书，具有系统集成项目管理工程师证书，具有网络工程师证书。(提供相关证书扫描件，同一个人拥有多个证书的，不重复计算);</w:t>
      </w:r>
    </w:p>
    <w:p w14:paraId="76C7CE0B">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cs="Courier New"/>
          <w:bCs/>
          <w:color w:val="auto"/>
          <w:szCs w:val="21"/>
          <w:highlight w:val="none"/>
          <w:rtl w:val="0"/>
          <w:lang w:val="en-US" w:eastAsia="zh-CN"/>
        </w:rPr>
      </w:pPr>
      <w:r>
        <w:rPr>
          <w:rFonts w:hint="eastAsia" w:ascii="宋体" w:hAnsi="宋体" w:cs="Courier New"/>
          <w:bCs/>
          <w:color w:val="auto"/>
          <w:szCs w:val="21"/>
          <w:highlight w:val="none"/>
          <w:lang w:val="en-US" w:eastAsia="zh-CN"/>
        </w:rPr>
        <w:t>2）.</w:t>
      </w:r>
      <w:r>
        <w:rPr>
          <w:rFonts w:hint="eastAsia" w:ascii="宋体" w:hAnsi="宋体" w:cs="Courier New"/>
          <w:bCs/>
          <w:color w:val="auto"/>
          <w:szCs w:val="21"/>
          <w:highlight w:val="none"/>
          <w:rtl w:val="0"/>
          <w:lang w:val="en-US" w:eastAsia="zh-CN"/>
        </w:rPr>
        <w:t>项目经理同时具有程序员证书或软件设计师证书、数据库原厂认证工程师、系统分析师或信息系统项目管理师证书，且从事相关工作15年或以上（以取得系统分析师或信息系统项目管理师证书算起）。</w:t>
      </w:r>
    </w:p>
    <w:p w14:paraId="4D44476B">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Courier New"/>
          <w:bCs/>
          <w:color w:val="auto"/>
          <w:szCs w:val="21"/>
          <w:highlight w:val="none"/>
          <w:rtl w:val="0"/>
          <w:lang w:val="en-US" w:eastAsia="zh-CN"/>
        </w:rPr>
      </w:pPr>
      <w:r>
        <w:rPr>
          <w:rFonts w:hint="eastAsia" w:ascii="宋体" w:hAnsi="宋体" w:eastAsia="宋体" w:cs="Courier New"/>
          <w:bCs/>
          <w:color w:val="auto"/>
          <w:szCs w:val="21"/>
          <w:highlight w:val="none"/>
          <w:rtl w:val="0"/>
          <w:lang w:val="en-US" w:eastAsia="zh-CN"/>
        </w:rPr>
        <w:t>3）.供应商拥有医院等级评审系统（平台）著作权，有材料支撑。</w:t>
      </w:r>
    </w:p>
    <w:p w14:paraId="7423E35E">
      <w:pPr>
        <w:keepNext w:val="0"/>
        <w:keepLines w:val="0"/>
        <w:pageBreakBefore w:val="0"/>
        <w:widowControl w:val="0"/>
        <w:kinsoku/>
        <w:wordWrap/>
        <w:overflowPunct/>
        <w:topLinePunct w:val="0"/>
        <w:autoSpaceDE/>
        <w:autoSpaceDN/>
        <w:bidi w:val="0"/>
        <w:adjustRightInd/>
        <w:ind w:firstLine="420" w:firstLineChars="200"/>
        <w:jc w:val="left"/>
        <w:textAlignment w:val="auto"/>
        <w:rPr>
          <w:rFonts w:hint="eastAsia" w:ascii="宋体" w:hAnsi="宋体" w:eastAsia="宋体" w:cs="Courier New"/>
          <w:bCs/>
          <w:color w:val="auto"/>
          <w:szCs w:val="21"/>
          <w:highlight w:val="none"/>
          <w:rtl w:val="0"/>
          <w:lang w:val="en-US" w:eastAsia="zh-CN"/>
        </w:rPr>
      </w:pPr>
      <w:r>
        <w:rPr>
          <w:rFonts w:hint="eastAsia" w:ascii="宋体" w:hAnsi="宋体" w:eastAsia="宋体" w:cs="Courier New"/>
          <w:bCs/>
          <w:color w:val="auto"/>
          <w:szCs w:val="21"/>
          <w:highlight w:val="none"/>
          <w:rtl w:val="0"/>
          <w:lang w:val="en-US" w:eastAsia="zh-CN"/>
        </w:rPr>
        <w:t>注：须提供以上资质证明材料和响应截止日之前连续3个月的供应商代缴个税税单或《社会保险参保人员证明》或劳动合同。</w:t>
      </w:r>
    </w:p>
    <w:p w14:paraId="7095056A">
      <w:pPr>
        <w:keepNext w:val="0"/>
        <w:keepLines w:val="0"/>
        <w:pageBreakBefore w:val="0"/>
        <w:widowControl w:val="0"/>
        <w:kinsoku/>
        <w:wordWrap/>
        <w:overflowPunct/>
        <w:topLinePunct w:val="0"/>
        <w:autoSpaceDE/>
        <w:autoSpaceDN/>
        <w:bidi w:val="0"/>
        <w:adjustRightInd/>
        <w:ind w:firstLine="420" w:firstLineChars="200"/>
        <w:jc w:val="left"/>
        <w:textAlignment w:val="auto"/>
        <w:rPr>
          <w:rFonts w:hint="default" w:ascii="宋体" w:hAnsi="宋体" w:eastAsia="宋体" w:cs="Courier New"/>
          <w:b w:val="0"/>
          <w:bCs w:val="0"/>
          <w:color w:val="auto"/>
          <w:szCs w:val="21"/>
          <w:highlight w:val="none"/>
          <w:rtl w:val="0"/>
          <w:lang w:val="en-US" w:eastAsia="zh-CN"/>
        </w:rPr>
      </w:pPr>
      <w:r>
        <w:rPr>
          <w:rFonts w:hint="eastAsia" w:ascii="宋体" w:hAnsi="宋体" w:cs="Courier New"/>
          <w:b w:val="0"/>
          <w:bCs w:val="0"/>
          <w:color w:val="auto"/>
          <w:szCs w:val="21"/>
          <w:highlight w:val="none"/>
          <w:lang w:eastAsia="zh-CN"/>
        </w:rPr>
        <w:t>（</w:t>
      </w:r>
      <w:r>
        <w:rPr>
          <w:rFonts w:hint="eastAsia" w:ascii="宋体" w:hAnsi="宋体" w:cs="Courier New"/>
          <w:b w:val="0"/>
          <w:bCs w:val="0"/>
          <w:color w:val="auto"/>
          <w:szCs w:val="21"/>
          <w:highlight w:val="none"/>
          <w:lang w:val="en-US" w:eastAsia="zh-CN"/>
        </w:rPr>
        <w:t>5</w:t>
      </w:r>
      <w:r>
        <w:rPr>
          <w:rFonts w:hint="eastAsia" w:ascii="宋体" w:hAnsi="宋体" w:cs="Courier New"/>
          <w:b w:val="0"/>
          <w:bCs w:val="0"/>
          <w:color w:val="auto"/>
          <w:szCs w:val="21"/>
          <w:highlight w:val="none"/>
          <w:lang w:eastAsia="zh-CN"/>
        </w:rPr>
        <w:t>）</w:t>
      </w:r>
      <w:r>
        <w:rPr>
          <w:rFonts w:hint="eastAsia" w:ascii="宋体" w:hAnsi="宋体" w:cs="Courier New"/>
          <w:b w:val="0"/>
          <w:bCs w:val="0"/>
          <w:color w:val="auto"/>
          <w:szCs w:val="21"/>
          <w:highlight w:val="none"/>
        </w:rPr>
        <w:t>同类项目业绩</w:t>
      </w:r>
    </w:p>
    <w:p w14:paraId="34C1C05D">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ascii="宋体" w:hAnsi="宋体" w:cs="Courier New"/>
          <w:bCs/>
          <w:color w:val="auto"/>
          <w:szCs w:val="21"/>
          <w:highlight w:val="none"/>
        </w:rPr>
      </w:pPr>
      <w:r>
        <w:rPr>
          <w:rFonts w:hint="eastAsia" w:hAnsi="宋体" w:cs="宋体"/>
          <w:bCs/>
          <w:color w:val="auto"/>
          <w:highlight w:val="none"/>
        </w:rPr>
        <w:t>供应商</w:t>
      </w:r>
      <w:r>
        <w:rPr>
          <w:rFonts w:hint="eastAsia" w:hAnsi="宋体" w:cs="宋体"/>
          <w:bCs/>
          <w:color w:val="auto"/>
          <w:highlight w:val="none"/>
          <w:lang w:val="en-US" w:eastAsia="zh-CN"/>
        </w:rPr>
        <w:t>应</w:t>
      </w:r>
      <w:r>
        <w:rPr>
          <w:rFonts w:hint="eastAsia" w:hAnsi="宋体" w:cs="宋体"/>
          <w:bCs/>
          <w:color w:val="auto"/>
          <w:highlight w:val="none"/>
        </w:rPr>
        <w:t>具有</w:t>
      </w:r>
      <w:r>
        <w:rPr>
          <w:rFonts w:hint="eastAsia" w:hAnsi="宋体" w:cs="宋体"/>
          <w:bCs/>
          <w:color w:val="auto"/>
          <w:highlight w:val="none"/>
          <w:lang w:val="en-US" w:eastAsia="zh-CN"/>
        </w:rPr>
        <w:t>协助</w:t>
      </w:r>
      <w:r>
        <w:rPr>
          <w:rFonts w:hint="eastAsia" w:hAnsi="宋体" w:cs="宋体"/>
          <w:bCs/>
          <w:color w:val="auto"/>
          <w:highlight w:val="none"/>
        </w:rPr>
        <w:t>医院</w:t>
      </w:r>
      <w:r>
        <w:rPr>
          <w:rFonts w:hint="eastAsia" w:hAnsi="宋体" w:cs="宋体"/>
          <w:bCs/>
          <w:color w:val="auto"/>
          <w:highlight w:val="none"/>
          <w:lang w:val="en-US" w:eastAsia="zh-CN"/>
        </w:rPr>
        <w:t>等级评审的成功案例</w:t>
      </w:r>
      <w:r>
        <w:rPr>
          <w:rFonts w:hint="eastAsia" w:ascii="宋体" w:hAnsi="宋体" w:cs="Courier New"/>
          <w:bCs/>
          <w:color w:val="auto"/>
          <w:szCs w:val="21"/>
          <w:highlight w:val="none"/>
        </w:rPr>
        <w:t>。</w:t>
      </w:r>
    </w:p>
    <w:p w14:paraId="40723765">
      <w:pPr>
        <w:keepNext w:val="0"/>
        <w:keepLines w:val="0"/>
        <w:pageBreakBefore w:val="0"/>
        <w:widowControl w:val="0"/>
        <w:tabs>
          <w:tab w:val="left" w:pos="2520"/>
        </w:tabs>
        <w:kinsoku/>
        <w:wordWrap/>
        <w:overflowPunct/>
        <w:topLinePunct w:val="0"/>
        <w:autoSpaceDE/>
        <w:autoSpaceDN/>
        <w:bidi w:val="0"/>
        <w:adjustRightInd/>
        <w:ind w:firstLine="420" w:firstLineChars="200"/>
        <w:jc w:val="left"/>
        <w:textAlignment w:val="auto"/>
        <w:rPr>
          <w:rFonts w:hint="default" w:ascii="宋体" w:hAnsi="宋体" w:cs="宋体"/>
          <w:b/>
          <w:bCs/>
          <w:color w:val="auto"/>
          <w:sz w:val="24"/>
          <w:highlight w:val="none"/>
          <w:lang w:val="en-US" w:eastAsia="zh-CN"/>
        </w:rPr>
      </w:pPr>
      <w:r>
        <w:rPr>
          <w:rFonts w:hint="eastAsia" w:ascii="宋体" w:hAnsi="宋体" w:cs="Courier New"/>
          <w:bCs/>
          <w:color w:val="auto"/>
          <w:szCs w:val="21"/>
          <w:highlight w:val="none"/>
        </w:rPr>
        <w:t>注：需同时提供合同复印件加盖供应商公章。</w:t>
      </w:r>
    </w:p>
    <w:p w14:paraId="1D892D15">
      <w:pPr>
        <w:keepNext w:val="0"/>
        <w:keepLines w:val="0"/>
        <w:pageBreakBefore w:val="0"/>
        <w:widowControl w:val="0"/>
        <w:kinsoku/>
        <w:wordWrap/>
        <w:overflowPunct/>
        <w:topLinePunct w:val="0"/>
        <w:autoSpaceDE/>
        <w:autoSpaceDN/>
        <w:bidi w:val="0"/>
        <w:adjustRightInd/>
        <w:spacing w:line="560" w:lineRule="exact"/>
        <w:ind w:firstLine="0" w:firstLineChars="0"/>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服务商务要求</w:t>
      </w:r>
    </w:p>
    <w:p w14:paraId="27135777">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1.服务期：自签订合同之日起60日历天内建设完成；</w:t>
      </w:r>
      <w:r>
        <w:rPr>
          <w:rFonts w:hint="eastAsia" w:ascii="宋体" w:hAnsi="宋体" w:cs="宋体"/>
          <w:color w:val="auto"/>
          <w:spacing w:val="-9"/>
          <w:szCs w:val="21"/>
          <w:highlight w:val="none"/>
        </w:rPr>
        <w:t>试运行通过后，1个月内完成项目初步验收；顺利通过</w:t>
      </w:r>
      <w:r>
        <w:rPr>
          <w:rFonts w:hint="eastAsia" w:ascii="宋体" w:hAnsi="宋体" w:cs="宋体"/>
          <w:color w:val="auto"/>
          <w:spacing w:val="-9"/>
          <w:szCs w:val="21"/>
          <w:highlight w:val="none"/>
          <w:lang w:val="en-US" w:eastAsia="zh-CN"/>
        </w:rPr>
        <w:t>医院</w:t>
      </w:r>
      <w:r>
        <w:rPr>
          <w:rFonts w:hint="eastAsia" w:ascii="宋体" w:hAnsi="宋体" w:cs="宋体"/>
          <w:color w:val="auto"/>
          <w:spacing w:val="-9"/>
          <w:szCs w:val="21"/>
          <w:highlight w:val="none"/>
        </w:rPr>
        <w:t>等级评审后完成正式验收。</w:t>
      </w:r>
      <w:r>
        <w:rPr>
          <w:rFonts w:hint="eastAsia" w:ascii="宋体" w:hAnsi="宋体" w:cs="宋体"/>
          <w:color w:val="auto"/>
          <w:spacing w:val="-9"/>
          <w:szCs w:val="21"/>
          <w:highlight w:val="none"/>
          <w:lang w:val="en-US" w:eastAsia="zh-CN"/>
        </w:rPr>
        <w:t>正式验收后</w:t>
      </w:r>
      <w:r>
        <w:rPr>
          <w:rFonts w:hint="eastAsia" w:ascii="宋体" w:hAnsi="宋体" w:cs="宋体"/>
          <w:color w:val="auto"/>
          <w:spacing w:val="-9"/>
          <w:szCs w:val="21"/>
          <w:highlight w:val="none"/>
        </w:rPr>
        <w:t>免费维保期至少1年。</w:t>
      </w:r>
    </w:p>
    <w:p w14:paraId="143C44FB">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.成果交付时间：自签订合同之日起60日历天内。</w:t>
      </w:r>
    </w:p>
    <w:p w14:paraId="07F815AE">
      <w:pPr>
        <w:pStyle w:val="21"/>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.验收标准：</w:t>
      </w:r>
    </w:p>
    <w:p w14:paraId="76007EA2">
      <w:pPr>
        <w:pStyle w:val="21"/>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1）功能符合招标文件要求，并经采购单位使用人员签收确认。</w:t>
      </w:r>
    </w:p>
    <w:p w14:paraId="026E0E83">
      <w:pPr>
        <w:pStyle w:val="21"/>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2）试用期内系统稳定，数据准确，性能良好，未发生故障、数据错误和操作延迟等现象。</w:t>
      </w:r>
    </w:p>
    <w:p w14:paraId="1CC7BE59">
      <w:pPr>
        <w:pStyle w:val="21"/>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3）实施方案、配置手册、操作说明、用户手册等技术文档齐全。</w:t>
      </w:r>
    </w:p>
    <w:p w14:paraId="2E84CCE2">
      <w:pPr>
        <w:spacing w:line="360" w:lineRule="auto"/>
        <w:ind w:firstLine="420" w:firstLineChars="200"/>
        <w:rPr>
          <w:rFonts w:hint="eastAsia" w:ascii="宋体" w:hAnsi="宋体" w:cs="宋体"/>
          <w:color w:val="auto"/>
          <w:spacing w:val="-9"/>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pacing w:val="-9"/>
          <w:szCs w:val="21"/>
          <w:highlight w:val="none"/>
        </w:rPr>
        <w:t>系统建设方需要至少安排4名现场驻点工程师，至少有2人有相关工作经历，完成平台搭建和数据管理工作，系统稳定运行后直至我院现场评审结束需安排至少1名驻点工程师</w:t>
      </w:r>
      <w:r>
        <w:rPr>
          <w:rFonts w:hint="eastAsia" w:ascii="宋体" w:hAnsi="宋体" w:cs="宋体"/>
          <w:color w:val="auto"/>
          <w:spacing w:val="-9"/>
          <w:szCs w:val="21"/>
          <w:highlight w:val="none"/>
          <w:lang w:eastAsia="zh-CN"/>
        </w:rPr>
        <w:t>，</w:t>
      </w:r>
      <w:r>
        <w:rPr>
          <w:rFonts w:hint="eastAsia" w:ascii="宋体" w:hAnsi="宋体" w:cs="宋体"/>
          <w:color w:val="auto"/>
          <w:spacing w:val="-9"/>
          <w:szCs w:val="21"/>
          <w:highlight w:val="none"/>
          <w:lang w:val="en-US" w:eastAsia="zh-CN"/>
        </w:rPr>
        <w:t>医院等级评审前一个月及评审期间至少安排2名有经验的驻点工程师协助评审</w:t>
      </w:r>
      <w:r>
        <w:rPr>
          <w:rFonts w:hint="eastAsia" w:ascii="宋体" w:hAnsi="宋体" w:cs="宋体"/>
          <w:color w:val="auto"/>
          <w:spacing w:val="-9"/>
          <w:szCs w:val="21"/>
          <w:highlight w:val="none"/>
        </w:rPr>
        <w:t>。</w:t>
      </w:r>
      <w:r>
        <w:rPr>
          <w:rFonts w:hint="eastAsia" w:ascii="宋体" w:hAnsi="宋体" w:cs="宋体"/>
          <w:color w:val="auto"/>
          <w:szCs w:val="21"/>
          <w:highlight w:val="none"/>
        </w:rPr>
        <w:t>工程师作息时间完全根据甲方对项目的进度要求。</w:t>
      </w:r>
    </w:p>
    <w:p w14:paraId="7B69DCDD">
      <w:pPr>
        <w:spacing w:line="360" w:lineRule="auto"/>
        <w:ind w:firstLine="384" w:firstLineChars="200"/>
        <w:rPr>
          <w:rFonts w:ascii="宋体" w:hAnsi="宋体" w:cs="宋体"/>
          <w:color w:val="auto"/>
          <w:kern w:val="0"/>
          <w:szCs w:val="21"/>
          <w:highlight w:val="none"/>
          <w:lang w:bidi="ar"/>
        </w:rPr>
      </w:pPr>
      <w:r>
        <w:rPr>
          <w:rFonts w:hint="eastAsia" w:ascii="宋体" w:hAnsi="宋体" w:cs="宋体"/>
          <w:color w:val="auto"/>
          <w:spacing w:val="-9"/>
          <w:szCs w:val="21"/>
          <w:highlight w:val="none"/>
          <w:lang w:val="en-US" w:eastAsia="zh-CN"/>
        </w:rPr>
        <w:t>5</w:t>
      </w:r>
      <w:r>
        <w:rPr>
          <w:rFonts w:hint="eastAsia" w:ascii="宋体" w:hAnsi="宋体" w:cs="宋体"/>
          <w:color w:val="auto"/>
          <w:spacing w:val="-9"/>
          <w:szCs w:val="21"/>
          <w:highlight w:val="none"/>
        </w:rPr>
        <w:t>.系统</w:t>
      </w:r>
      <w:r>
        <w:rPr>
          <w:rFonts w:hint="eastAsia" w:ascii="宋体" w:hAnsi="宋体" w:cs="宋体"/>
          <w:color w:val="auto"/>
          <w:spacing w:val="-9"/>
          <w:szCs w:val="21"/>
          <w:highlight w:val="none"/>
          <w:lang w:val="en-US" w:eastAsia="zh-CN"/>
        </w:rPr>
        <w:t>应</w:t>
      </w:r>
      <w:r>
        <w:rPr>
          <w:rFonts w:hint="eastAsia" w:ascii="宋体" w:hAnsi="宋体" w:cs="宋体"/>
          <w:color w:val="auto"/>
          <w:kern w:val="0"/>
          <w:szCs w:val="21"/>
          <w:highlight w:val="none"/>
          <w:lang w:bidi="ar"/>
        </w:rPr>
        <w:t>与医院</w:t>
      </w:r>
      <w:r>
        <w:rPr>
          <w:rFonts w:hint="eastAsia" w:ascii="宋体" w:hAnsi="宋体" w:cs="宋体"/>
          <w:color w:val="auto"/>
          <w:kern w:val="0"/>
          <w:szCs w:val="21"/>
          <w:highlight w:val="none"/>
          <w:lang w:val="en-US" w:eastAsia="zh-CN" w:bidi="ar"/>
        </w:rPr>
        <w:t>等级评审前</w:t>
      </w:r>
      <w:r>
        <w:rPr>
          <w:rFonts w:hint="eastAsia" w:ascii="宋体" w:hAnsi="宋体" w:cs="宋体"/>
          <w:color w:val="auto"/>
          <w:kern w:val="0"/>
          <w:szCs w:val="21"/>
          <w:highlight w:val="none"/>
          <w:lang w:bidi="ar"/>
        </w:rPr>
        <w:t>所有系统对接，包括但不限于HIS、</w:t>
      </w:r>
      <w:r>
        <w:rPr>
          <w:rFonts w:hint="eastAsia" w:ascii="宋体" w:hAnsi="宋体" w:cs="宋体"/>
          <w:color w:val="auto"/>
          <w:kern w:val="0"/>
          <w:szCs w:val="21"/>
          <w:highlight w:val="none"/>
          <w:lang w:val="en-US" w:eastAsia="zh-CN" w:bidi="ar"/>
        </w:rPr>
        <w:t>医院集成平台、</w:t>
      </w:r>
      <w:r>
        <w:rPr>
          <w:rFonts w:hint="eastAsia" w:ascii="宋体" w:hAnsi="宋体" w:cs="宋体"/>
          <w:color w:val="auto"/>
          <w:kern w:val="0"/>
          <w:szCs w:val="21"/>
          <w:highlight w:val="none"/>
          <w:lang w:bidi="ar"/>
        </w:rPr>
        <w:t>生殖</w:t>
      </w:r>
      <w:r>
        <w:rPr>
          <w:rFonts w:hint="eastAsia" w:ascii="宋体" w:hAnsi="宋体" w:cs="宋体"/>
          <w:color w:val="auto"/>
          <w:kern w:val="0"/>
          <w:szCs w:val="21"/>
          <w:highlight w:val="none"/>
          <w:lang w:val="en-US" w:eastAsia="zh-CN" w:bidi="ar"/>
        </w:rPr>
        <w:t>病案</w:t>
      </w:r>
      <w:r>
        <w:rPr>
          <w:rFonts w:hint="eastAsia" w:ascii="宋体" w:hAnsi="宋体" w:cs="宋体"/>
          <w:color w:val="auto"/>
          <w:kern w:val="0"/>
          <w:szCs w:val="21"/>
          <w:highlight w:val="none"/>
          <w:lang w:bidi="ar"/>
        </w:rPr>
        <w:t>、</w:t>
      </w:r>
      <w:r>
        <w:rPr>
          <w:rFonts w:hint="eastAsia" w:ascii="宋体" w:hAnsi="宋体" w:cs="宋体"/>
          <w:color w:val="auto"/>
          <w:szCs w:val="21"/>
          <w:highlight w:val="none"/>
        </w:rPr>
        <w:t>电子病历、</w:t>
      </w:r>
      <w:r>
        <w:rPr>
          <w:rFonts w:hint="eastAsia" w:ascii="宋体" w:hAnsi="宋体" w:cs="宋体"/>
          <w:color w:val="auto"/>
          <w:kern w:val="0"/>
          <w:szCs w:val="21"/>
          <w:highlight w:val="none"/>
          <w:lang w:bidi="ar"/>
        </w:rPr>
        <w:t>手麻、病案、检验、影像、合理用药、人事管理、财务管理、设备管理、院感管理、不良事件管理、</w:t>
      </w:r>
      <w:r>
        <w:rPr>
          <w:rFonts w:hint="eastAsia" w:ascii="宋体" w:hAnsi="宋体" w:cs="宋体"/>
          <w:color w:val="auto"/>
          <w:szCs w:val="21"/>
          <w:highlight w:val="none"/>
        </w:rPr>
        <w:t>输血管理、护理管理、随访管理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单病种管理</w:t>
      </w:r>
      <w:r>
        <w:rPr>
          <w:rFonts w:hint="eastAsia" w:ascii="宋体" w:hAnsi="宋体" w:cs="宋体"/>
          <w:color w:val="auto"/>
          <w:kern w:val="0"/>
          <w:szCs w:val="21"/>
          <w:highlight w:val="none"/>
          <w:lang w:bidi="ar"/>
        </w:rPr>
        <w:t>等系统。</w:t>
      </w:r>
    </w:p>
    <w:p w14:paraId="7DA160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.提供软硬件7×24小时的免费软件维护升级服务（包括故障排除、性能调优、技术咨询等，并负责处理、协调与各系统软件、硬件等供应商的关系）。</w:t>
      </w:r>
    </w:p>
    <w:p w14:paraId="439F7C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.对医院等级医院评审系统每</w:t>
      </w:r>
      <w:r>
        <w:rPr>
          <w:rFonts w:hint="eastAsia" w:ascii="宋体" w:hAnsi="宋体" w:cs="宋体"/>
          <w:color w:val="auto"/>
          <w:szCs w:val="21"/>
          <w:highlight w:val="none"/>
          <w:lang w:val="en-US" w:eastAsia="zh-CN"/>
        </w:rPr>
        <w:t>季度</w:t>
      </w:r>
      <w:r>
        <w:rPr>
          <w:rFonts w:hint="eastAsia" w:ascii="宋体" w:hAnsi="宋体" w:cs="宋体"/>
          <w:color w:val="auto"/>
          <w:szCs w:val="21"/>
          <w:highlight w:val="none"/>
        </w:rPr>
        <w:t>进行一次巡检，检查系统运行状态，及时发现并解决系统中存在的问题。进行每年两次的现场例行维护及巡检，监测诊断，对发生的小故障进行现场修复，软件的功能增强性维护等应用软件系统扩充升级，检查软件运行状态、数据库运行状态、操作系统运行状态，进行性能调优和及时处理巡检时发现的问题，并出具《巡检报告》。</w:t>
      </w:r>
    </w:p>
    <w:p w14:paraId="4BC522B2">
      <w:pPr>
        <w:tabs>
          <w:tab w:val="left" w:pos="147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.有重大通告、提醒、和产品通用补丁时，应及时对系统进行升级更新。</w:t>
      </w:r>
    </w:p>
    <w:p w14:paraId="6C5A0C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.付款方式</w:t>
      </w:r>
    </w:p>
    <w:p w14:paraId="415BED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乙方在60个日历天内完成各应用软件的开发、测试（含功能测试、性能测试以及压力测试等）、实施，完成项目的全部系统建设，并通过甲方组织初步验收确认合格后15个工作日内，甲方向乙方支付合同价款的40%（乙方需开具付款等额增值税普通发票）；</w:t>
      </w:r>
    </w:p>
    <w:p w14:paraId="5EC15F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.2投入试运行后，应在15个工作日内完成本项目的培训任务，培训完成</w:t>
      </w:r>
      <w:r>
        <w:rPr>
          <w:rFonts w:hint="eastAsia" w:ascii="宋体" w:hAnsi="宋体" w:cs="宋体"/>
          <w:color w:val="auto"/>
          <w:szCs w:val="21"/>
          <w:highlight w:val="none"/>
          <w:lang w:val="en-US" w:eastAsia="zh-CN"/>
        </w:rPr>
        <w:t>并合格</w:t>
      </w:r>
      <w:r>
        <w:rPr>
          <w:rFonts w:hint="eastAsia" w:ascii="宋体" w:hAnsi="宋体" w:cs="宋体"/>
          <w:color w:val="auto"/>
          <w:szCs w:val="21"/>
          <w:highlight w:val="none"/>
        </w:rPr>
        <w:t>后15个工作日内，甲方向乙方支付合同价款的</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0%（乙方需开具付款等额增值税普通发票）。</w:t>
      </w:r>
      <w:r>
        <w:rPr>
          <w:rFonts w:hint="eastAsia" w:ascii="宋体" w:hAnsi="宋体" w:cs="宋体"/>
          <w:color w:val="auto"/>
          <w:spacing w:val="-9"/>
          <w:szCs w:val="21"/>
          <w:highlight w:val="none"/>
        </w:rPr>
        <w:t>顺利通过</w:t>
      </w:r>
      <w:r>
        <w:rPr>
          <w:rFonts w:hint="eastAsia" w:ascii="宋体" w:hAnsi="宋体" w:cs="宋体"/>
          <w:color w:val="auto"/>
          <w:spacing w:val="-9"/>
          <w:szCs w:val="21"/>
          <w:highlight w:val="none"/>
          <w:lang w:val="en-US" w:eastAsia="zh-CN"/>
        </w:rPr>
        <w:t>医院</w:t>
      </w:r>
      <w:r>
        <w:rPr>
          <w:rFonts w:hint="eastAsia" w:ascii="宋体" w:hAnsi="宋体" w:cs="宋体"/>
          <w:color w:val="auto"/>
          <w:spacing w:val="-9"/>
          <w:szCs w:val="21"/>
          <w:highlight w:val="none"/>
        </w:rPr>
        <w:t>等级评审后</w:t>
      </w:r>
      <w:r>
        <w:rPr>
          <w:rFonts w:hint="eastAsia" w:ascii="宋体" w:hAnsi="宋体" w:cs="宋体"/>
          <w:color w:val="auto"/>
          <w:szCs w:val="21"/>
          <w:highlight w:val="none"/>
        </w:rPr>
        <w:t>，开展正式验收，</w:t>
      </w:r>
      <w:r>
        <w:rPr>
          <w:rFonts w:hint="eastAsia" w:ascii="宋体" w:hAnsi="宋体" w:cs="宋体"/>
          <w:color w:val="auto"/>
          <w:szCs w:val="21"/>
          <w:highlight w:val="none"/>
          <w:lang w:val="en-US" w:eastAsia="zh-CN"/>
        </w:rPr>
        <w:t>正式验收合格</w:t>
      </w:r>
      <w:r>
        <w:rPr>
          <w:rFonts w:hint="eastAsia" w:ascii="宋体" w:hAnsi="宋体" w:cs="宋体"/>
          <w:color w:val="auto"/>
          <w:szCs w:val="21"/>
          <w:highlight w:val="none"/>
        </w:rPr>
        <w:t>后15个工作日内，甲方向乙方支付合同价款的</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0%（乙方需开具付款等额增值税普通发票）。</w:t>
      </w:r>
    </w:p>
    <w:p w14:paraId="0612FD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.履约保证金</w:t>
      </w:r>
    </w:p>
    <w:p w14:paraId="493D0B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履约保证金金额：按成交总金额的5%收取，并于合同签订前提交至采购人指定账户。如成交供应商为中小企业的，向采购人出具《中小企业声明函》，按成交总金额的2%收取，并于合同签订前提交至采购人指定账户。</w:t>
      </w:r>
    </w:p>
    <w:p w14:paraId="6827B5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（2）履约保证金递交方式：银行转账方式。</w:t>
      </w:r>
    </w:p>
    <w:p w14:paraId="41B455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约保证金退付的方式、时间及条件：待合同履约完毕后，成交人向采购人提供《采购项目合同验收书》，采购人在收到合格材料后10个工作日内办理退还手续（不计利息）（如有涉及违约行为的，扣除违约金后退还）。</w:t>
      </w:r>
    </w:p>
    <w:p w14:paraId="1295B9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（4）不予退还的情形：签订合同后，如成交人不按双方签订的合同规定履约，则其全部履约保证金不予退还。</w:t>
      </w:r>
    </w:p>
    <w:p w14:paraId="5BADF6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.服务要求</w:t>
      </w:r>
    </w:p>
    <w:p w14:paraId="70DDAE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1）乙方应按照国家有关法律法规和“三包”规定以及招投标文件和本合同所附的《售后服务承诺书》，为甲方提供售后服务。</w:t>
      </w:r>
    </w:p>
    <w:p w14:paraId="2A5A50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2）货物质保期：按国家有关规定实行产品“三包”，货物（易耗品除外）质保期服务一年，分项设备有质保期要求的按其要求。保修期自安装调试验收合格，并以双方最终验收报告签字日开始计算。</w:t>
      </w:r>
    </w:p>
    <w:p w14:paraId="5A930C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3）乙方提供的服务承诺和售后服务及保修期责任等其它具体约定事项。（详见需求表）</w:t>
      </w:r>
    </w:p>
    <w:p w14:paraId="5C00FBDC">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维保期满后，按照维保期内售后服务内容及标准继续提供维保服务，直至采购人确认更换维保单位。不能因维保期满而出现缓修、拒修等情况，维修所产生费用由中标供应商和采购人另行结算。维保金额每年不得超过中标金额的5%。</w:t>
      </w:r>
    </w:p>
    <w:p w14:paraId="03A45FF7">
      <w:pPr>
        <w:spacing w:line="360" w:lineRule="auto"/>
        <w:ind w:firstLine="1044" w:firstLineChars="200"/>
        <w:jc w:val="center"/>
        <w:rPr>
          <w:rFonts w:ascii="宋体" w:hAnsi="宋体" w:cs="宋体"/>
          <w:b/>
          <w:color w:val="auto"/>
          <w:sz w:val="52"/>
          <w:szCs w:val="52"/>
          <w:highlight w:val="none"/>
        </w:rPr>
      </w:pPr>
      <w:r>
        <w:rPr>
          <w:rFonts w:hint="eastAsia" w:ascii="宋体" w:hAnsi="宋体" w:cs="宋体"/>
          <w:b/>
          <w:color w:val="auto"/>
          <w:sz w:val="52"/>
          <w:szCs w:val="52"/>
          <w:highlight w:val="none"/>
        </w:rPr>
        <w:t>报 名 表</w:t>
      </w:r>
    </w:p>
    <w:p w14:paraId="43764C72">
      <w:pPr>
        <w:spacing w:line="240" w:lineRule="exact"/>
        <w:jc w:val="center"/>
        <w:rPr>
          <w:b/>
          <w:color w:val="auto"/>
          <w:sz w:val="44"/>
          <w:szCs w:val="44"/>
          <w:highlight w:val="none"/>
          <w:u w:val="single"/>
        </w:rPr>
      </w:pPr>
    </w:p>
    <w:tbl>
      <w:tblPr>
        <w:tblStyle w:val="16"/>
        <w:tblW w:w="954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782E29E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9540" w:type="dxa"/>
            <w:vAlign w:val="center"/>
          </w:tcPr>
          <w:p w14:paraId="415EF4ED">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供应商单位名称：</w:t>
            </w:r>
          </w:p>
        </w:tc>
      </w:tr>
      <w:tr w14:paraId="47F64AE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540" w:type="dxa"/>
            <w:vAlign w:val="center"/>
          </w:tcPr>
          <w:p w14:paraId="2A7BEBF4">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身份证号：</w:t>
            </w:r>
          </w:p>
        </w:tc>
      </w:tr>
      <w:tr w14:paraId="0A94EE1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540" w:type="dxa"/>
            <w:vAlign w:val="center"/>
          </w:tcPr>
          <w:p w14:paraId="15C3C056">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办公电话：</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手机号码：</w:t>
            </w:r>
          </w:p>
        </w:tc>
      </w:tr>
      <w:tr w14:paraId="744D439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9540" w:type="dxa"/>
            <w:vAlign w:val="center"/>
          </w:tcPr>
          <w:p w14:paraId="4BAF5453">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电子邮箱：</w:t>
            </w:r>
          </w:p>
        </w:tc>
      </w:tr>
      <w:tr w14:paraId="19EF945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9540" w:type="dxa"/>
            <w:vAlign w:val="center"/>
          </w:tcPr>
          <w:p w14:paraId="2037CC24">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厂家：</w:t>
            </w:r>
          </w:p>
        </w:tc>
      </w:tr>
      <w:tr w14:paraId="45DAE32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540" w:type="dxa"/>
            <w:vAlign w:val="center"/>
          </w:tcPr>
          <w:p w14:paraId="7F8CA48E">
            <w:pPr>
              <w:ind w:left="6440" w:hanging="6440" w:hangingChars="2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代理人</w:t>
            </w:r>
            <w:r>
              <w:rPr>
                <w:rFonts w:hint="eastAsia" w:ascii="仿宋" w:hAnsi="仿宋" w:eastAsia="仿宋" w:cs="仿宋"/>
                <w:color w:val="auto"/>
                <w:sz w:val="28"/>
                <w:szCs w:val="28"/>
                <w:highlight w:val="none"/>
              </w:rPr>
              <w:t xml:space="preserve">签名：                            </w:t>
            </w:r>
          </w:p>
          <w:p w14:paraId="61AA77CB">
            <w:pPr>
              <w:ind w:left="6440" w:hanging="6440" w:hangingChars="2300"/>
              <w:rPr>
                <w:rFonts w:ascii="仿宋" w:hAnsi="仿宋" w:eastAsia="仿宋" w:cs="仿宋"/>
                <w:color w:val="auto"/>
                <w:sz w:val="28"/>
                <w:szCs w:val="28"/>
                <w:highlight w:val="none"/>
              </w:rPr>
            </w:pPr>
          </w:p>
          <w:p w14:paraId="04E48CFE">
            <w:pPr>
              <w:ind w:firstLine="6160" w:firstLineChars="2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tc>
      </w:tr>
    </w:tbl>
    <w:p w14:paraId="618B0123">
      <w:pPr>
        <w:rPr>
          <w:color w:val="auto"/>
          <w:sz w:val="28"/>
          <w:szCs w:val="36"/>
          <w:highlight w:val="none"/>
        </w:rPr>
      </w:pPr>
    </w:p>
    <w:p w14:paraId="32BCD0F7">
      <w:pPr>
        <w:rPr>
          <w:rFonts w:hint="eastAsia" w:ascii="宋体" w:hAnsi="宋体"/>
          <w:color w:val="auto"/>
          <w:kern w:val="0"/>
          <w:szCs w:val="21"/>
          <w:highlight w:val="none"/>
        </w:rPr>
      </w:pPr>
    </w:p>
    <w:p w14:paraId="73FB9AFD">
      <w:pPr>
        <w:rPr>
          <w:rFonts w:hint="eastAsia" w:ascii="宋体" w:hAnsi="宋体"/>
          <w:color w:val="auto"/>
          <w:kern w:val="0"/>
          <w:szCs w:val="21"/>
          <w:highlight w:val="none"/>
        </w:rPr>
      </w:pPr>
    </w:p>
    <w:p w14:paraId="69E8945C">
      <w:pPr>
        <w:rPr>
          <w:rFonts w:hint="eastAsia" w:ascii="宋体" w:hAnsi="宋体"/>
          <w:color w:val="auto"/>
          <w:kern w:val="0"/>
          <w:szCs w:val="21"/>
          <w:highlight w:val="none"/>
        </w:rPr>
      </w:pPr>
    </w:p>
    <w:p w14:paraId="13A42C59">
      <w:pPr>
        <w:rPr>
          <w:rFonts w:hint="eastAsia" w:ascii="宋体" w:hAnsi="宋体"/>
          <w:color w:val="auto"/>
          <w:kern w:val="0"/>
          <w:szCs w:val="21"/>
          <w:highlight w:val="none"/>
        </w:rPr>
      </w:pPr>
    </w:p>
    <w:p w14:paraId="4A240451">
      <w:pPr>
        <w:rPr>
          <w:rFonts w:hint="eastAsia" w:ascii="宋体" w:hAnsi="宋体"/>
          <w:color w:val="auto"/>
          <w:kern w:val="0"/>
          <w:szCs w:val="21"/>
          <w:highlight w:val="none"/>
        </w:rPr>
      </w:pPr>
    </w:p>
    <w:p w14:paraId="2BA21567">
      <w:pPr>
        <w:rPr>
          <w:rFonts w:hint="eastAsia" w:ascii="宋体" w:hAnsi="宋体"/>
          <w:color w:val="auto"/>
          <w:kern w:val="0"/>
          <w:szCs w:val="21"/>
          <w:highlight w:val="none"/>
        </w:rPr>
      </w:pPr>
    </w:p>
    <w:p w14:paraId="1D8933F7">
      <w:pPr>
        <w:rPr>
          <w:rFonts w:hint="eastAsia" w:ascii="宋体" w:hAnsi="宋体"/>
          <w:color w:val="auto"/>
          <w:kern w:val="0"/>
          <w:szCs w:val="21"/>
          <w:highlight w:val="none"/>
        </w:rPr>
      </w:pPr>
    </w:p>
    <w:p w14:paraId="4225236D">
      <w:pPr>
        <w:rPr>
          <w:rFonts w:hint="eastAsia" w:ascii="宋体" w:hAnsi="宋体"/>
          <w:color w:val="auto"/>
          <w:kern w:val="0"/>
          <w:szCs w:val="21"/>
          <w:highlight w:val="none"/>
        </w:rPr>
      </w:pPr>
    </w:p>
    <w:p w14:paraId="3244DE46">
      <w:pPr>
        <w:rPr>
          <w:rFonts w:hint="eastAsia" w:ascii="宋体" w:hAnsi="宋体"/>
          <w:color w:val="auto"/>
          <w:kern w:val="0"/>
          <w:szCs w:val="21"/>
          <w:highlight w:val="none"/>
        </w:rPr>
      </w:pPr>
    </w:p>
    <w:p w14:paraId="09F0414D">
      <w:pPr>
        <w:rPr>
          <w:rFonts w:hint="eastAsia" w:ascii="宋体" w:hAnsi="宋体"/>
          <w:color w:val="auto"/>
          <w:kern w:val="0"/>
          <w:szCs w:val="21"/>
          <w:highlight w:val="none"/>
        </w:rPr>
      </w:pPr>
    </w:p>
    <w:p w14:paraId="350C1BE3">
      <w:pPr>
        <w:pStyle w:val="9"/>
        <w:rPr>
          <w:rFonts w:hint="eastAsia"/>
          <w:color w:val="auto"/>
          <w:highlight w:val="none"/>
        </w:rPr>
      </w:pPr>
    </w:p>
    <w:p w14:paraId="71C3706F">
      <w:pPr>
        <w:ind w:firstLine="1280" w:firstLineChars="400"/>
        <w:jc w:val="center"/>
        <w:rPr>
          <w:rFonts w:hint="eastAsia" w:ascii="宋体" w:hAnsi="宋体"/>
          <w:color w:val="auto"/>
          <w:kern w:val="0"/>
          <w:sz w:val="32"/>
          <w:szCs w:val="32"/>
          <w:highlight w:val="none"/>
          <w:lang w:val="en-US" w:eastAsia="zh-CN"/>
        </w:rPr>
      </w:pPr>
      <w:r>
        <w:rPr>
          <w:rFonts w:hint="eastAsia" w:ascii="宋体" w:hAnsi="宋体"/>
          <w:color w:val="auto"/>
          <w:kern w:val="0"/>
          <w:sz w:val="32"/>
          <w:szCs w:val="32"/>
          <w:highlight w:val="none"/>
          <w:lang w:val="en-US" w:eastAsia="zh-CN"/>
        </w:rPr>
        <w:t>参数论证文件目录及装订顺序</w:t>
      </w:r>
    </w:p>
    <w:p w14:paraId="67B23EDC">
      <w:pPr>
        <w:rPr>
          <w:rFonts w:hint="eastAsia" w:ascii="宋体" w:hAnsi="宋体"/>
          <w:color w:val="auto"/>
          <w:kern w:val="0"/>
          <w:szCs w:val="21"/>
          <w:highlight w:val="none"/>
          <w:lang w:val="en-US" w:eastAsia="zh-CN"/>
        </w:rPr>
      </w:pPr>
    </w:p>
    <w:p w14:paraId="20EAE79C">
      <w:pP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一、系统参数偏离表（附件 1)</w:t>
      </w:r>
    </w:p>
    <w:p w14:paraId="5EA78907">
      <w:pP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二、详细介绍公司情况及相应产品性能或服务等特点及优势、产品彩页、说明书；</w:t>
      </w:r>
    </w:p>
    <w:p w14:paraId="15AFDAB3">
      <w:pPr>
        <w:numPr>
          <w:ilvl w:val="0"/>
          <w:numId w:val="0"/>
        </w:numP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三、提供同一系统市场销售业绩和用户一览表；</w:t>
      </w:r>
    </w:p>
    <w:p w14:paraId="6A9064C0">
      <w:pPr>
        <w:snapToGrid w:val="0"/>
        <w:spacing w:before="50" w:line="360" w:lineRule="auto"/>
        <w:jc w:val="left"/>
        <w:rPr>
          <w:rFonts w:hint="default" w:ascii="宋体" w:hAnsi="宋体"/>
          <w:color w:val="auto"/>
          <w:kern w:val="0"/>
          <w:szCs w:val="21"/>
          <w:highlight w:val="none"/>
          <w:lang w:val="en-US" w:eastAsia="zh-CN"/>
        </w:rPr>
      </w:pPr>
      <w:r>
        <w:rPr>
          <w:rFonts w:hint="eastAsia" w:ascii="宋体" w:hAnsi="宋体" w:eastAsia="宋体" w:cs="宋体"/>
          <w:b/>
          <w:bCs/>
          <w:i w:val="0"/>
          <w:caps w:val="0"/>
          <w:color w:val="auto"/>
          <w:spacing w:val="0"/>
          <w:sz w:val="30"/>
          <w:szCs w:val="30"/>
          <w:highlight w:val="none"/>
          <w:shd w:val="clear" w:color="auto" w:fill="FFFFFF"/>
          <w:lang w:val="en-US" w:eastAsia="zh-CN"/>
        </w:rPr>
        <w:t>▲</w:t>
      </w:r>
      <w:r>
        <w:rPr>
          <w:rFonts w:hint="eastAsia" w:ascii="宋体" w:hAnsi="宋体"/>
          <w:color w:val="auto"/>
          <w:kern w:val="0"/>
          <w:szCs w:val="21"/>
          <w:highlight w:val="none"/>
          <w:lang w:val="en-US" w:eastAsia="zh-CN"/>
        </w:rPr>
        <w:t>注意:系统参数偏离表(附件1) 必须如实填写产品偏离情况，不可直接复制本项目要求,如直接复制且未提供产品彩页说明书或厂家设备技术参数进行证明，按照不符合项目需求处理。</w:t>
      </w:r>
    </w:p>
    <w:p w14:paraId="4C640785">
      <w:pPr>
        <w:snapToGrid w:val="0"/>
        <w:spacing w:before="50" w:line="360" w:lineRule="auto"/>
        <w:jc w:val="left"/>
        <w:rPr>
          <w:rFonts w:hint="eastAsia" w:ascii="仿宋_GB2312" w:hAnsi="宋体" w:eastAsia="仿宋_GB2312"/>
          <w:b/>
          <w:color w:val="auto"/>
          <w:sz w:val="28"/>
          <w:szCs w:val="28"/>
          <w:highlight w:val="none"/>
          <w:lang w:eastAsia="zh-CN"/>
        </w:rPr>
      </w:pPr>
    </w:p>
    <w:p w14:paraId="1F823482">
      <w:pPr>
        <w:snapToGrid w:val="0"/>
        <w:spacing w:before="50" w:line="360" w:lineRule="auto"/>
        <w:jc w:val="left"/>
        <w:rPr>
          <w:rFonts w:hint="eastAsia" w:ascii="仿宋_GB2312" w:hAnsi="宋体" w:eastAsia="仿宋_GB2312"/>
          <w:b/>
          <w:color w:val="auto"/>
          <w:sz w:val="28"/>
          <w:szCs w:val="28"/>
          <w:highlight w:val="none"/>
          <w:lang w:eastAsia="zh-CN"/>
        </w:rPr>
      </w:pPr>
    </w:p>
    <w:p w14:paraId="4981F005">
      <w:pPr>
        <w:snapToGrid w:val="0"/>
        <w:spacing w:before="120" w:beforeLines="50" w:after="50"/>
        <w:jc w:val="left"/>
        <w:rPr>
          <w:rFonts w:hint="eastAsia" w:ascii="仿宋_GB2312" w:hAnsi="宋体" w:eastAsia="仿宋_GB2312"/>
          <w:b/>
          <w:color w:val="auto"/>
          <w:sz w:val="28"/>
          <w:szCs w:val="28"/>
          <w:highlight w:val="none"/>
          <w:lang w:eastAsia="zh-CN"/>
        </w:rPr>
      </w:pPr>
    </w:p>
    <w:p w14:paraId="64808E1E">
      <w:pPr>
        <w:snapToGrid w:val="0"/>
        <w:spacing w:before="120" w:beforeLines="50" w:after="50"/>
        <w:jc w:val="left"/>
        <w:rPr>
          <w:rFonts w:hint="eastAsia" w:ascii="仿宋_GB2312" w:hAnsi="宋体" w:eastAsia="仿宋_GB2312"/>
          <w:b/>
          <w:color w:val="auto"/>
          <w:sz w:val="28"/>
          <w:szCs w:val="28"/>
          <w:highlight w:val="none"/>
          <w:lang w:eastAsia="zh-CN"/>
        </w:rPr>
      </w:pPr>
    </w:p>
    <w:p w14:paraId="18F7FEDA">
      <w:pPr>
        <w:snapToGrid w:val="0"/>
        <w:spacing w:before="120" w:beforeLines="50" w:after="50"/>
        <w:jc w:val="left"/>
        <w:rPr>
          <w:rFonts w:hint="eastAsia" w:ascii="仿宋_GB2312" w:hAnsi="宋体" w:eastAsia="仿宋_GB2312"/>
          <w:b/>
          <w:color w:val="auto"/>
          <w:sz w:val="28"/>
          <w:szCs w:val="28"/>
          <w:highlight w:val="none"/>
          <w:lang w:eastAsia="zh-CN"/>
        </w:rPr>
      </w:pPr>
    </w:p>
    <w:p w14:paraId="37C0CE2F">
      <w:pPr>
        <w:snapToGrid w:val="0"/>
        <w:spacing w:before="120" w:beforeLines="50" w:after="50"/>
        <w:jc w:val="left"/>
        <w:rPr>
          <w:rFonts w:hint="eastAsia" w:ascii="仿宋_GB2312" w:hAnsi="宋体" w:eastAsia="仿宋_GB2312"/>
          <w:b/>
          <w:color w:val="auto"/>
          <w:sz w:val="28"/>
          <w:szCs w:val="28"/>
          <w:highlight w:val="none"/>
          <w:lang w:eastAsia="zh-CN"/>
        </w:rPr>
      </w:pPr>
    </w:p>
    <w:p w14:paraId="13A14D6C">
      <w:pPr>
        <w:snapToGrid w:val="0"/>
        <w:spacing w:before="120" w:beforeLines="50" w:after="50"/>
        <w:jc w:val="left"/>
        <w:rPr>
          <w:rFonts w:hint="eastAsia" w:ascii="仿宋_GB2312" w:hAnsi="宋体" w:eastAsia="仿宋_GB2312"/>
          <w:b/>
          <w:color w:val="auto"/>
          <w:sz w:val="28"/>
          <w:szCs w:val="28"/>
          <w:highlight w:val="none"/>
          <w:lang w:eastAsia="zh-CN"/>
        </w:rPr>
      </w:pPr>
    </w:p>
    <w:p w14:paraId="035C1ACE">
      <w:pPr>
        <w:snapToGrid w:val="0"/>
        <w:spacing w:before="120" w:beforeLines="50" w:after="50"/>
        <w:jc w:val="left"/>
        <w:rPr>
          <w:rFonts w:hint="eastAsia" w:ascii="仿宋_GB2312" w:hAnsi="宋体" w:eastAsia="仿宋_GB2312"/>
          <w:b/>
          <w:color w:val="auto"/>
          <w:sz w:val="28"/>
          <w:szCs w:val="28"/>
          <w:highlight w:val="none"/>
          <w:lang w:eastAsia="zh-CN"/>
        </w:rPr>
      </w:pPr>
    </w:p>
    <w:p w14:paraId="25921F59">
      <w:pPr>
        <w:snapToGrid w:val="0"/>
        <w:spacing w:before="120" w:beforeLines="50" w:after="50"/>
        <w:jc w:val="left"/>
        <w:rPr>
          <w:rFonts w:hint="eastAsia" w:ascii="仿宋_GB2312" w:hAnsi="宋体" w:eastAsia="仿宋_GB2312"/>
          <w:b/>
          <w:color w:val="auto"/>
          <w:sz w:val="28"/>
          <w:szCs w:val="28"/>
          <w:highlight w:val="none"/>
          <w:lang w:eastAsia="zh-CN"/>
        </w:rPr>
      </w:pPr>
    </w:p>
    <w:p w14:paraId="0B5A98C5">
      <w:pPr>
        <w:snapToGrid w:val="0"/>
        <w:spacing w:before="120" w:beforeLines="50" w:after="50"/>
        <w:jc w:val="left"/>
        <w:rPr>
          <w:rFonts w:hint="eastAsia" w:ascii="仿宋_GB2312" w:hAnsi="宋体" w:eastAsia="仿宋_GB2312"/>
          <w:b/>
          <w:color w:val="auto"/>
          <w:sz w:val="28"/>
          <w:szCs w:val="28"/>
          <w:highlight w:val="none"/>
          <w:lang w:eastAsia="zh-CN"/>
        </w:rPr>
      </w:pPr>
    </w:p>
    <w:p w14:paraId="1B1200D4">
      <w:pPr>
        <w:snapToGrid w:val="0"/>
        <w:spacing w:before="120" w:beforeLines="50" w:after="50"/>
        <w:jc w:val="left"/>
        <w:rPr>
          <w:rFonts w:hint="eastAsia" w:ascii="仿宋_GB2312" w:hAnsi="宋体" w:eastAsia="仿宋_GB2312"/>
          <w:b/>
          <w:color w:val="auto"/>
          <w:sz w:val="28"/>
          <w:szCs w:val="28"/>
          <w:highlight w:val="none"/>
          <w:lang w:eastAsia="zh-CN"/>
        </w:rPr>
      </w:pPr>
    </w:p>
    <w:p w14:paraId="5290087F">
      <w:pPr>
        <w:snapToGrid w:val="0"/>
        <w:spacing w:before="120" w:beforeLines="50" w:after="50"/>
        <w:jc w:val="left"/>
        <w:rPr>
          <w:rFonts w:hint="eastAsia" w:ascii="仿宋_GB2312" w:hAnsi="宋体" w:eastAsia="仿宋_GB2312"/>
          <w:b/>
          <w:color w:val="auto"/>
          <w:sz w:val="28"/>
          <w:szCs w:val="28"/>
          <w:highlight w:val="none"/>
          <w:lang w:eastAsia="zh-CN"/>
        </w:rPr>
      </w:pPr>
    </w:p>
    <w:p w14:paraId="071A597F">
      <w:pPr>
        <w:snapToGrid w:val="0"/>
        <w:spacing w:before="120" w:beforeLines="50" w:after="50"/>
        <w:jc w:val="left"/>
        <w:rPr>
          <w:rFonts w:hint="eastAsia" w:ascii="仿宋_GB2312" w:hAnsi="宋体" w:eastAsia="仿宋_GB2312"/>
          <w:b/>
          <w:color w:val="auto"/>
          <w:sz w:val="28"/>
          <w:szCs w:val="28"/>
          <w:highlight w:val="none"/>
          <w:lang w:eastAsia="zh-CN"/>
        </w:rPr>
      </w:pPr>
    </w:p>
    <w:p w14:paraId="526424D4">
      <w:pPr>
        <w:snapToGrid w:val="0"/>
        <w:spacing w:before="120" w:beforeLines="50" w:after="50"/>
        <w:jc w:val="left"/>
        <w:rPr>
          <w:rFonts w:hint="eastAsia" w:ascii="仿宋_GB2312" w:hAnsi="宋体" w:eastAsia="仿宋_GB2312"/>
          <w:b/>
          <w:color w:val="auto"/>
          <w:sz w:val="28"/>
          <w:szCs w:val="28"/>
          <w:highlight w:val="none"/>
          <w:lang w:eastAsia="zh-CN"/>
        </w:rPr>
      </w:pPr>
    </w:p>
    <w:p w14:paraId="7D72E50F">
      <w:pPr>
        <w:snapToGrid w:val="0"/>
        <w:spacing w:before="120" w:beforeLines="50" w:after="50"/>
        <w:jc w:val="left"/>
        <w:rPr>
          <w:rFonts w:hint="eastAsia" w:ascii="仿宋_GB2312" w:hAnsi="宋体" w:eastAsia="仿宋_GB2312"/>
          <w:b/>
          <w:color w:val="auto"/>
          <w:sz w:val="28"/>
          <w:szCs w:val="28"/>
          <w:highlight w:val="none"/>
          <w:lang w:eastAsia="zh-CN"/>
        </w:rPr>
      </w:pPr>
    </w:p>
    <w:p w14:paraId="5DBDF330">
      <w:pPr>
        <w:snapToGrid w:val="0"/>
        <w:spacing w:before="120" w:beforeLines="50" w:after="50"/>
        <w:jc w:val="left"/>
        <w:rPr>
          <w:rFonts w:hint="eastAsia" w:ascii="仿宋_GB2312" w:hAnsi="宋体" w:eastAsia="仿宋_GB2312"/>
          <w:b/>
          <w:color w:val="auto"/>
          <w:sz w:val="28"/>
          <w:szCs w:val="28"/>
          <w:highlight w:val="none"/>
          <w:lang w:eastAsia="zh-CN"/>
        </w:rPr>
      </w:pPr>
    </w:p>
    <w:p w14:paraId="40369D74">
      <w:pPr>
        <w:snapToGrid w:val="0"/>
        <w:spacing w:before="120" w:beforeLines="50" w:after="50"/>
        <w:jc w:val="left"/>
        <w:rPr>
          <w:rFonts w:hint="eastAsia" w:ascii="仿宋_GB2312" w:hAnsi="宋体" w:eastAsia="仿宋_GB2312"/>
          <w:b/>
          <w:color w:val="auto"/>
          <w:sz w:val="28"/>
          <w:szCs w:val="28"/>
          <w:highlight w:val="none"/>
          <w:lang w:eastAsia="zh-CN"/>
        </w:rPr>
      </w:pPr>
    </w:p>
    <w:p w14:paraId="3D43B966">
      <w:pPr>
        <w:snapToGrid w:val="0"/>
        <w:spacing w:before="120" w:beforeLines="50" w:after="50"/>
        <w:jc w:val="left"/>
        <w:rPr>
          <w:rFonts w:hint="eastAsia" w:ascii="仿宋_GB2312" w:hAnsi="宋体" w:eastAsia="仿宋_GB2312"/>
          <w:b/>
          <w:color w:val="auto"/>
          <w:sz w:val="28"/>
          <w:szCs w:val="28"/>
          <w:highlight w:val="none"/>
          <w:lang w:eastAsia="zh-CN"/>
        </w:rPr>
      </w:pPr>
    </w:p>
    <w:p w14:paraId="271A95DD">
      <w:pPr>
        <w:snapToGrid w:val="0"/>
        <w:spacing w:before="120" w:beforeLines="50" w:after="50"/>
        <w:jc w:val="left"/>
        <w:rPr>
          <w:rFonts w:hint="eastAsia" w:ascii="仿宋_GB2312" w:hAnsi="宋体" w:eastAsia="仿宋_GB2312"/>
          <w:b/>
          <w:color w:val="auto"/>
          <w:sz w:val="28"/>
          <w:szCs w:val="28"/>
          <w:highlight w:val="none"/>
          <w:lang w:eastAsia="zh-CN"/>
        </w:rPr>
      </w:pPr>
    </w:p>
    <w:p w14:paraId="5B0C40EE">
      <w:pPr>
        <w:snapToGrid w:val="0"/>
        <w:spacing w:before="120" w:beforeLines="50" w:after="50"/>
        <w:jc w:val="left"/>
        <w:rPr>
          <w:rFonts w:hint="eastAsia" w:ascii="仿宋_GB2312" w:hAnsi="宋体" w:eastAsia="仿宋_GB2312"/>
          <w:b/>
          <w:color w:val="auto"/>
          <w:sz w:val="28"/>
          <w:szCs w:val="28"/>
          <w:highlight w:val="none"/>
          <w:lang w:eastAsia="zh-CN"/>
        </w:rPr>
      </w:pPr>
    </w:p>
    <w:p w14:paraId="140245BB">
      <w:pPr>
        <w:snapToGrid w:val="0"/>
        <w:spacing w:before="120" w:beforeLines="50" w:after="50"/>
        <w:jc w:val="left"/>
        <w:rPr>
          <w:rFonts w:hint="eastAsia" w:ascii="宋体" w:hAnsi="宋体" w:eastAsia="宋体" w:cs="宋体"/>
          <w:b/>
          <w:color w:val="auto"/>
          <w:sz w:val="24"/>
          <w:highlight w:val="none"/>
        </w:rPr>
      </w:pPr>
      <w:r>
        <w:rPr>
          <w:rFonts w:hint="eastAsia" w:ascii="仿宋_GB2312" w:hAnsi="宋体" w:eastAsia="仿宋_GB2312"/>
          <w:b/>
          <w:color w:val="auto"/>
          <w:sz w:val="28"/>
          <w:szCs w:val="28"/>
          <w:highlight w:val="none"/>
          <w:lang w:eastAsia="zh-CN"/>
        </w:rPr>
        <w:t>附件</w:t>
      </w:r>
      <w:r>
        <w:rPr>
          <w:rFonts w:hint="eastAsia" w:ascii="仿宋_GB2312" w:hAnsi="宋体" w:eastAsia="仿宋_GB2312"/>
          <w:b/>
          <w:color w:val="auto"/>
          <w:sz w:val="28"/>
          <w:szCs w:val="28"/>
          <w:highlight w:val="none"/>
          <w:lang w:val="en-US" w:eastAsia="zh-CN"/>
        </w:rPr>
        <w:t>1：</w:t>
      </w:r>
    </w:p>
    <w:p w14:paraId="247142C1">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系统参数</w:t>
      </w:r>
      <w:r>
        <w:rPr>
          <w:rFonts w:hint="eastAsia" w:ascii="宋体" w:hAnsi="宋体" w:eastAsia="宋体" w:cs="宋体"/>
          <w:b/>
          <w:color w:val="auto"/>
          <w:sz w:val="32"/>
          <w:szCs w:val="32"/>
          <w:highlight w:val="none"/>
        </w:rPr>
        <w:t>偏离表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6"/>
        <w:gridCol w:w="3124"/>
        <w:gridCol w:w="2769"/>
      </w:tblGrid>
      <w:tr w14:paraId="3EA3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41" w:type="pct"/>
            <w:noWrap w:val="0"/>
            <w:vAlign w:val="center"/>
          </w:tcPr>
          <w:p w14:paraId="66F5D104">
            <w:pPr>
              <w:pStyle w:val="12"/>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技术要求</w:t>
            </w:r>
          </w:p>
        </w:tc>
        <w:tc>
          <w:tcPr>
            <w:tcW w:w="1833" w:type="pct"/>
            <w:noWrap w:val="0"/>
            <w:vAlign w:val="center"/>
          </w:tcPr>
          <w:p w14:paraId="473266FD">
            <w:pPr>
              <w:pStyle w:val="12"/>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是否</w:t>
            </w:r>
            <w:r>
              <w:rPr>
                <w:rFonts w:hint="eastAsia" w:ascii="宋体" w:hAnsi="宋体" w:eastAsia="宋体" w:cs="宋体"/>
                <w:color w:val="auto"/>
                <w:kern w:val="2"/>
                <w:sz w:val="24"/>
                <w:szCs w:val="24"/>
                <w:highlight w:val="none"/>
              </w:rPr>
              <w:t>响应</w:t>
            </w:r>
          </w:p>
        </w:tc>
        <w:tc>
          <w:tcPr>
            <w:tcW w:w="1625" w:type="pct"/>
            <w:noWrap w:val="0"/>
            <w:vAlign w:val="center"/>
          </w:tcPr>
          <w:p w14:paraId="0FAC1BB8">
            <w:pPr>
              <w:pStyle w:val="12"/>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偏离说明</w:t>
            </w:r>
          </w:p>
        </w:tc>
      </w:tr>
      <w:tr w14:paraId="66F1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pct"/>
            <w:noWrap w:val="0"/>
            <w:vAlign w:val="center"/>
          </w:tcPr>
          <w:p w14:paraId="33B3F567">
            <w:pPr>
              <w:pStyle w:val="12"/>
              <w:spacing w:line="600" w:lineRule="exact"/>
              <w:jc w:val="center"/>
              <w:rPr>
                <w:rFonts w:hint="eastAsia" w:ascii="宋体" w:hAnsi="宋体" w:eastAsia="宋体" w:cs="宋体"/>
                <w:color w:val="auto"/>
                <w:kern w:val="2"/>
                <w:sz w:val="24"/>
                <w:szCs w:val="24"/>
                <w:highlight w:val="none"/>
              </w:rPr>
            </w:pPr>
          </w:p>
        </w:tc>
        <w:tc>
          <w:tcPr>
            <w:tcW w:w="1833" w:type="pct"/>
            <w:noWrap w:val="0"/>
            <w:vAlign w:val="center"/>
          </w:tcPr>
          <w:p w14:paraId="7DA4BB01">
            <w:pPr>
              <w:pStyle w:val="12"/>
              <w:spacing w:line="600" w:lineRule="exact"/>
              <w:jc w:val="center"/>
              <w:rPr>
                <w:rFonts w:hint="eastAsia" w:ascii="宋体" w:hAnsi="宋体" w:eastAsia="宋体" w:cs="宋体"/>
                <w:color w:val="auto"/>
                <w:kern w:val="2"/>
                <w:sz w:val="24"/>
                <w:szCs w:val="24"/>
                <w:highlight w:val="none"/>
              </w:rPr>
            </w:pPr>
          </w:p>
        </w:tc>
        <w:tc>
          <w:tcPr>
            <w:tcW w:w="1625" w:type="pct"/>
            <w:noWrap w:val="0"/>
            <w:vAlign w:val="center"/>
          </w:tcPr>
          <w:p w14:paraId="3EBBDCD7">
            <w:pPr>
              <w:pStyle w:val="12"/>
              <w:spacing w:line="600" w:lineRule="exact"/>
              <w:jc w:val="center"/>
              <w:rPr>
                <w:rFonts w:hint="eastAsia" w:ascii="宋体" w:hAnsi="宋体" w:eastAsia="宋体" w:cs="宋体"/>
                <w:color w:val="auto"/>
                <w:kern w:val="2"/>
                <w:sz w:val="24"/>
                <w:szCs w:val="24"/>
                <w:highlight w:val="none"/>
              </w:rPr>
            </w:pPr>
          </w:p>
        </w:tc>
      </w:tr>
      <w:tr w14:paraId="628F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pct"/>
            <w:noWrap w:val="0"/>
            <w:vAlign w:val="top"/>
          </w:tcPr>
          <w:p w14:paraId="5F64AED2">
            <w:pPr>
              <w:pStyle w:val="12"/>
              <w:spacing w:line="600" w:lineRule="exact"/>
              <w:rPr>
                <w:rFonts w:hint="eastAsia" w:ascii="宋体" w:hAnsi="宋体" w:eastAsia="宋体" w:cs="宋体"/>
                <w:color w:val="auto"/>
                <w:kern w:val="2"/>
                <w:sz w:val="24"/>
                <w:szCs w:val="24"/>
                <w:highlight w:val="none"/>
              </w:rPr>
            </w:pPr>
          </w:p>
        </w:tc>
        <w:tc>
          <w:tcPr>
            <w:tcW w:w="1833" w:type="pct"/>
            <w:noWrap w:val="0"/>
            <w:vAlign w:val="top"/>
          </w:tcPr>
          <w:p w14:paraId="3F246176">
            <w:pPr>
              <w:pStyle w:val="12"/>
              <w:spacing w:line="600" w:lineRule="exact"/>
              <w:rPr>
                <w:rFonts w:hint="eastAsia" w:ascii="宋体" w:hAnsi="宋体" w:eastAsia="宋体" w:cs="宋体"/>
                <w:color w:val="auto"/>
                <w:kern w:val="2"/>
                <w:sz w:val="24"/>
                <w:szCs w:val="24"/>
                <w:highlight w:val="none"/>
              </w:rPr>
            </w:pPr>
          </w:p>
        </w:tc>
        <w:tc>
          <w:tcPr>
            <w:tcW w:w="1625" w:type="pct"/>
            <w:noWrap w:val="0"/>
            <w:vAlign w:val="top"/>
          </w:tcPr>
          <w:p w14:paraId="0A26E404">
            <w:pPr>
              <w:pStyle w:val="12"/>
              <w:spacing w:line="600" w:lineRule="exact"/>
              <w:rPr>
                <w:rFonts w:hint="eastAsia" w:ascii="宋体" w:hAnsi="宋体" w:eastAsia="宋体" w:cs="宋体"/>
                <w:color w:val="auto"/>
                <w:kern w:val="2"/>
                <w:sz w:val="24"/>
                <w:szCs w:val="24"/>
                <w:highlight w:val="none"/>
              </w:rPr>
            </w:pPr>
          </w:p>
        </w:tc>
      </w:tr>
      <w:tr w14:paraId="5C36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pct"/>
            <w:noWrap w:val="0"/>
            <w:vAlign w:val="top"/>
          </w:tcPr>
          <w:p w14:paraId="69BC3D72">
            <w:pPr>
              <w:pStyle w:val="12"/>
              <w:spacing w:line="600" w:lineRule="exact"/>
              <w:rPr>
                <w:rFonts w:hint="eastAsia" w:ascii="宋体" w:hAnsi="宋体" w:eastAsia="宋体" w:cs="宋体"/>
                <w:color w:val="auto"/>
                <w:kern w:val="2"/>
                <w:sz w:val="24"/>
                <w:szCs w:val="24"/>
                <w:highlight w:val="none"/>
              </w:rPr>
            </w:pPr>
          </w:p>
        </w:tc>
        <w:tc>
          <w:tcPr>
            <w:tcW w:w="1833" w:type="pct"/>
            <w:noWrap w:val="0"/>
            <w:vAlign w:val="top"/>
          </w:tcPr>
          <w:p w14:paraId="0F362E5E">
            <w:pPr>
              <w:pStyle w:val="12"/>
              <w:spacing w:line="600" w:lineRule="exact"/>
              <w:rPr>
                <w:rFonts w:hint="eastAsia" w:ascii="宋体" w:hAnsi="宋体" w:eastAsia="宋体" w:cs="宋体"/>
                <w:color w:val="auto"/>
                <w:kern w:val="2"/>
                <w:sz w:val="24"/>
                <w:szCs w:val="24"/>
                <w:highlight w:val="none"/>
              </w:rPr>
            </w:pPr>
          </w:p>
        </w:tc>
        <w:tc>
          <w:tcPr>
            <w:tcW w:w="1625" w:type="pct"/>
            <w:noWrap w:val="0"/>
            <w:vAlign w:val="top"/>
          </w:tcPr>
          <w:p w14:paraId="3F9506D0">
            <w:pPr>
              <w:pStyle w:val="12"/>
              <w:spacing w:line="600" w:lineRule="exact"/>
              <w:rPr>
                <w:rFonts w:hint="eastAsia" w:ascii="宋体" w:hAnsi="宋体" w:eastAsia="宋体" w:cs="宋体"/>
                <w:color w:val="auto"/>
                <w:kern w:val="2"/>
                <w:sz w:val="24"/>
                <w:szCs w:val="24"/>
                <w:highlight w:val="none"/>
              </w:rPr>
            </w:pPr>
          </w:p>
        </w:tc>
      </w:tr>
    </w:tbl>
    <w:p w14:paraId="74DBF8B5">
      <w:pPr>
        <w:pStyle w:val="8"/>
        <w:rPr>
          <w:rFonts w:hint="eastAsia" w:ascii="宋体" w:hAnsi="宋体" w:eastAsia="宋体" w:cs="宋体"/>
          <w:color w:val="auto"/>
          <w:highlight w:val="none"/>
        </w:rPr>
      </w:pPr>
      <w:r>
        <w:rPr>
          <w:rFonts w:hint="eastAsia" w:ascii="宋体" w:hAnsi="宋体" w:eastAsia="宋体" w:cs="宋体"/>
          <w:color w:val="auto"/>
          <w:highlight w:val="none"/>
        </w:rPr>
        <w:t>注：</w:t>
      </w:r>
    </w:p>
    <w:p w14:paraId="0431DACB">
      <w:pPr>
        <w:pStyle w:val="11"/>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1.说明：应对照文件“采购需求”中的“</w:t>
      </w:r>
      <w:r>
        <w:rPr>
          <w:rFonts w:hint="eastAsia" w:ascii="宋体" w:hAnsi="宋体" w:eastAsia="宋体" w:cs="宋体"/>
          <w:color w:val="auto"/>
          <w:sz w:val="24"/>
          <w:szCs w:val="24"/>
          <w:highlight w:val="none"/>
          <w:lang w:val="en-US" w:eastAsia="zh-CN"/>
        </w:rPr>
        <w:t>参数</w:t>
      </w:r>
      <w:r>
        <w:rPr>
          <w:rFonts w:hint="eastAsia" w:ascii="宋体" w:hAnsi="宋体" w:eastAsia="宋体" w:cs="宋体"/>
          <w:color w:val="auto"/>
          <w:sz w:val="24"/>
          <w:szCs w:val="24"/>
          <w:highlight w:val="none"/>
        </w:rPr>
        <w:t>要求”逐条作明确的响应，并作出偏离说明。</w:t>
      </w:r>
    </w:p>
    <w:p w14:paraId="6047D76F">
      <w:pPr>
        <w:pStyle w:val="8"/>
        <w:spacing w:line="360" w:lineRule="auto"/>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eastAsia="zh-CN"/>
        </w:rPr>
        <w:t>参会单位</w:t>
      </w:r>
      <w:r>
        <w:rPr>
          <w:rFonts w:hint="eastAsia" w:ascii="宋体" w:hAnsi="宋体" w:eastAsia="宋体" w:cs="宋体"/>
          <w:b w:val="0"/>
          <w:bCs w:val="0"/>
          <w:color w:val="auto"/>
          <w:highlight w:val="none"/>
        </w:rPr>
        <w:t>根据</w:t>
      </w:r>
      <w:r>
        <w:rPr>
          <w:rFonts w:hint="eastAsia" w:ascii="宋体" w:hAnsi="宋体" w:eastAsia="宋体" w:cs="宋体"/>
          <w:b w:val="0"/>
          <w:bCs w:val="0"/>
          <w:color w:val="auto"/>
          <w:highlight w:val="none"/>
          <w:lang w:val="en-US" w:eastAsia="zh-CN"/>
        </w:rPr>
        <w:t>参数要求</w:t>
      </w:r>
      <w:r>
        <w:rPr>
          <w:rFonts w:hint="eastAsia" w:ascii="宋体" w:hAnsi="宋体" w:eastAsia="宋体" w:cs="宋体"/>
          <w:b w:val="0"/>
          <w:bCs w:val="0"/>
          <w:color w:val="auto"/>
          <w:highlight w:val="none"/>
        </w:rPr>
        <w:t>，对照文件</w:t>
      </w:r>
      <w:r>
        <w:rPr>
          <w:rFonts w:hint="eastAsia" w:ascii="宋体" w:hAnsi="宋体" w:eastAsia="宋体" w:cs="宋体"/>
          <w:b w:val="0"/>
          <w:bCs w:val="0"/>
          <w:color w:val="auto"/>
          <w:highlight w:val="none"/>
          <w:lang w:val="en-US" w:eastAsia="zh-CN"/>
        </w:rPr>
        <w:t>参数</w:t>
      </w:r>
      <w:r>
        <w:rPr>
          <w:rFonts w:hint="eastAsia" w:ascii="宋体" w:hAnsi="宋体" w:eastAsia="宋体" w:cs="宋体"/>
          <w:b w:val="0"/>
          <w:bCs w:val="0"/>
          <w:color w:val="auto"/>
          <w:highlight w:val="none"/>
        </w:rPr>
        <w:t>要求，在“偏离说明”中注明“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”或者“</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”。既不属于“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”也不属于“</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”即为“</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w:t>
      </w:r>
    </w:p>
    <w:p w14:paraId="5D4A09A0">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3.如果文件需求为小于或大于某个数值标准时，文件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不得直接复制文件需求，文件</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内容应当写明具体参数或商务响应的具体数值，否则按无效处理。</w:t>
      </w:r>
    </w:p>
    <w:p w14:paraId="762B7F5D">
      <w:pPr>
        <w:snapToGrid w:val="0"/>
        <w:spacing w:before="120" w:beforeLines="50" w:after="50"/>
        <w:ind w:left="142"/>
        <w:jc w:val="center"/>
        <w:rPr>
          <w:rFonts w:hint="eastAsia" w:ascii="宋体" w:hAnsi="宋体" w:eastAsia="宋体" w:cs="宋体"/>
          <w:b/>
          <w:color w:val="auto"/>
          <w:sz w:val="32"/>
          <w:szCs w:val="32"/>
          <w:highlight w:val="none"/>
          <w:lang w:val="en-US" w:eastAsia="zh-CN"/>
        </w:rPr>
      </w:pPr>
    </w:p>
    <w:p w14:paraId="060F95D7">
      <w:pPr>
        <w:snapToGrid w:val="0"/>
        <w:spacing w:before="120" w:beforeLines="50" w:after="50"/>
        <w:ind w:left="142"/>
        <w:jc w:val="center"/>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系统参数其他建议</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1907"/>
        <w:gridCol w:w="2540"/>
        <w:gridCol w:w="2090"/>
      </w:tblGrid>
      <w:tr w14:paraId="43D2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jc w:val="center"/>
        </w:trPr>
        <w:tc>
          <w:tcPr>
            <w:tcW w:w="1163" w:type="pct"/>
            <w:noWrap w:val="0"/>
            <w:vAlign w:val="center"/>
          </w:tcPr>
          <w:p w14:paraId="14C342A7">
            <w:pPr>
              <w:pStyle w:val="12"/>
              <w:spacing w:line="400" w:lineRule="exact"/>
              <w:jc w:val="center"/>
              <w:rPr>
                <w:rFonts w:hint="default" w:ascii="宋体"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建议参数</w:t>
            </w:r>
          </w:p>
        </w:tc>
        <w:tc>
          <w:tcPr>
            <w:tcW w:w="1119" w:type="pct"/>
            <w:noWrap w:val="0"/>
            <w:vAlign w:val="center"/>
          </w:tcPr>
          <w:p w14:paraId="743343F7">
            <w:pPr>
              <w:pStyle w:val="12"/>
              <w:spacing w:line="400" w:lineRule="exact"/>
              <w:jc w:val="center"/>
              <w:rPr>
                <w:rFonts w:hint="eastAsia" w:ascii="宋体"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详细内容</w:t>
            </w:r>
          </w:p>
        </w:tc>
        <w:tc>
          <w:tcPr>
            <w:tcW w:w="1490" w:type="pct"/>
            <w:noWrap w:val="0"/>
            <w:vAlign w:val="center"/>
          </w:tcPr>
          <w:p w14:paraId="6614D92E">
            <w:pPr>
              <w:pStyle w:val="12"/>
              <w:spacing w:line="400" w:lineRule="exact"/>
              <w:jc w:val="center"/>
              <w:rPr>
                <w:rFonts w:hint="default"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是否列为核心参数</w:t>
            </w:r>
          </w:p>
        </w:tc>
        <w:tc>
          <w:tcPr>
            <w:tcW w:w="1226" w:type="pct"/>
            <w:noWrap w:val="0"/>
            <w:vAlign w:val="center"/>
          </w:tcPr>
          <w:p w14:paraId="43D7E1F6">
            <w:pPr>
              <w:pStyle w:val="12"/>
              <w:spacing w:line="400" w:lineRule="exact"/>
              <w:jc w:val="center"/>
              <w:rPr>
                <w:rFonts w:hint="eastAsia" w:ascii="宋体"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理由（优点或缺点）</w:t>
            </w:r>
          </w:p>
        </w:tc>
      </w:tr>
      <w:tr w14:paraId="40D63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pct"/>
            <w:noWrap w:val="0"/>
            <w:vAlign w:val="center"/>
          </w:tcPr>
          <w:p w14:paraId="2F36FD63">
            <w:pPr>
              <w:pStyle w:val="12"/>
              <w:spacing w:line="600" w:lineRule="exact"/>
              <w:jc w:val="center"/>
              <w:rPr>
                <w:rFonts w:hint="eastAsia" w:ascii="宋体" w:hAnsi="宋体" w:eastAsia="宋体" w:cs="宋体"/>
                <w:color w:val="auto"/>
                <w:kern w:val="2"/>
                <w:sz w:val="24"/>
                <w:szCs w:val="24"/>
                <w:highlight w:val="none"/>
              </w:rPr>
            </w:pPr>
          </w:p>
        </w:tc>
        <w:tc>
          <w:tcPr>
            <w:tcW w:w="1119" w:type="pct"/>
            <w:noWrap w:val="0"/>
            <w:vAlign w:val="center"/>
          </w:tcPr>
          <w:p w14:paraId="04217B52">
            <w:pPr>
              <w:pStyle w:val="12"/>
              <w:spacing w:line="600" w:lineRule="exact"/>
              <w:jc w:val="center"/>
              <w:rPr>
                <w:rFonts w:hint="eastAsia" w:ascii="宋体" w:hAnsi="宋体" w:eastAsia="宋体" w:cs="宋体"/>
                <w:color w:val="auto"/>
                <w:kern w:val="2"/>
                <w:sz w:val="24"/>
                <w:szCs w:val="24"/>
                <w:highlight w:val="none"/>
              </w:rPr>
            </w:pPr>
          </w:p>
        </w:tc>
        <w:tc>
          <w:tcPr>
            <w:tcW w:w="1490" w:type="pct"/>
            <w:noWrap w:val="0"/>
            <w:vAlign w:val="center"/>
          </w:tcPr>
          <w:p w14:paraId="027976DA">
            <w:pPr>
              <w:pStyle w:val="12"/>
              <w:spacing w:line="600" w:lineRule="exact"/>
              <w:jc w:val="center"/>
              <w:rPr>
                <w:rFonts w:hint="eastAsia" w:ascii="宋体" w:hAnsi="宋体" w:eastAsia="宋体" w:cs="宋体"/>
                <w:color w:val="auto"/>
                <w:kern w:val="2"/>
                <w:sz w:val="24"/>
                <w:szCs w:val="24"/>
                <w:highlight w:val="none"/>
              </w:rPr>
            </w:pPr>
          </w:p>
        </w:tc>
        <w:tc>
          <w:tcPr>
            <w:tcW w:w="1226" w:type="pct"/>
            <w:noWrap w:val="0"/>
            <w:vAlign w:val="center"/>
          </w:tcPr>
          <w:p w14:paraId="732CFCA7">
            <w:pPr>
              <w:pStyle w:val="12"/>
              <w:spacing w:line="600" w:lineRule="exact"/>
              <w:jc w:val="center"/>
              <w:rPr>
                <w:rFonts w:hint="eastAsia" w:ascii="宋体" w:hAnsi="宋体" w:eastAsia="宋体" w:cs="宋体"/>
                <w:color w:val="auto"/>
                <w:kern w:val="2"/>
                <w:sz w:val="24"/>
                <w:szCs w:val="24"/>
                <w:highlight w:val="none"/>
              </w:rPr>
            </w:pPr>
          </w:p>
        </w:tc>
      </w:tr>
      <w:tr w14:paraId="5BDE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pct"/>
            <w:noWrap w:val="0"/>
            <w:vAlign w:val="top"/>
          </w:tcPr>
          <w:p w14:paraId="5B8729CF">
            <w:pPr>
              <w:pStyle w:val="12"/>
              <w:spacing w:line="600" w:lineRule="exact"/>
              <w:rPr>
                <w:rFonts w:hint="eastAsia" w:ascii="宋体" w:hAnsi="宋体" w:eastAsia="宋体" w:cs="宋体"/>
                <w:color w:val="auto"/>
                <w:kern w:val="2"/>
                <w:sz w:val="24"/>
                <w:szCs w:val="24"/>
                <w:highlight w:val="none"/>
              </w:rPr>
            </w:pPr>
          </w:p>
        </w:tc>
        <w:tc>
          <w:tcPr>
            <w:tcW w:w="1119" w:type="pct"/>
            <w:noWrap w:val="0"/>
            <w:vAlign w:val="top"/>
          </w:tcPr>
          <w:p w14:paraId="75A53DA0">
            <w:pPr>
              <w:pStyle w:val="12"/>
              <w:spacing w:line="600" w:lineRule="exact"/>
              <w:rPr>
                <w:rFonts w:hint="eastAsia" w:ascii="宋体" w:hAnsi="宋体" w:eastAsia="宋体" w:cs="宋体"/>
                <w:color w:val="auto"/>
                <w:kern w:val="2"/>
                <w:sz w:val="24"/>
                <w:szCs w:val="24"/>
                <w:highlight w:val="none"/>
              </w:rPr>
            </w:pPr>
          </w:p>
        </w:tc>
        <w:tc>
          <w:tcPr>
            <w:tcW w:w="1490" w:type="pct"/>
            <w:noWrap w:val="0"/>
            <w:vAlign w:val="top"/>
          </w:tcPr>
          <w:p w14:paraId="10E33D8E">
            <w:pPr>
              <w:pStyle w:val="12"/>
              <w:spacing w:line="600" w:lineRule="exact"/>
              <w:rPr>
                <w:rFonts w:hint="eastAsia" w:ascii="宋体" w:hAnsi="宋体" w:eastAsia="宋体" w:cs="宋体"/>
                <w:color w:val="auto"/>
                <w:kern w:val="2"/>
                <w:sz w:val="24"/>
                <w:szCs w:val="24"/>
                <w:highlight w:val="none"/>
              </w:rPr>
            </w:pPr>
          </w:p>
        </w:tc>
        <w:tc>
          <w:tcPr>
            <w:tcW w:w="1226" w:type="pct"/>
            <w:noWrap w:val="0"/>
            <w:vAlign w:val="top"/>
          </w:tcPr>
          <w:p w14:paraId="3621D512">
            <w:pPr>
              <w:pStyle w:val="12"/>
              <w:spacing w:line="600" w:lineRule="exact"/>
              <w:rPr>
                <w:rFonts w:hint="eastAsia" w:ascii="宋体" w:hAnsi="宋体" w:eastAsia="宋体" w:cs="宋体"/>
                <w:color w:val="auto"/>
                <w:kern w:val="2"/>
                <w:sz w:val="24"/>
                <w:szCs w:val="24"/>
                <w:highlight w:val="none"/>
              </w:rPr>
            </w:pPr>
          </w:p>
        </w:tc>
      </w:tr>
      <w:tr w14:paraId="214D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pct"/>
            <w:noWrap w:val="0"/>
            <w:vAlign w:val="top"/>
          </w:tcPr>
          <w:p w14:paraId="3F072565">
            <w:pPr>
              <w:pStyle w:val="12"/>
              <w:spacing w:line="600" w:lineRule="exact"/>
              <w:rPr>
                <w:rFonts w:hint="eastAsia" w:ascii="宋体" w:hAnsi="宋体" w:eastAsia="宋体" w:cs="宋体"/>
                <w:color w:val="auto"/>
                <w:kern w:val="2"/>
                <w:sz w:val="24"/>
                <w:szCs w:val="24"/>
                <w:highlight w:val="none"/>
              </w:rPr>
            </w:pPr>
          </w:p>
        </w:tc>
        <w:tc>
          <w:tcPr>
            <w:tcW w:w="1119" w:type="pct"/>
            <w:noWrap w:val="0"/>
            <w:vAlign w:val="top"/>
          </w:tcPr>
          <w:p w14:paraId="274182B9">
            <w:pPr>
              <w:pStyle w:val="12"/>
              <w:spacing w:line="600" w:lineRule="exact"/>
              <w:rPr>
                <w:rFonts w:hint="eastAsia" w:ascii="宋体" w:hAnsi="宋体" w:eastAsia="宋体" w:cs="宋体"/>
                <w:color w:val="auto"/>
                <w:kern w:val="2"/>
                <w:sz w:val="24"/>
                <w:szCs w:val="24"/>
                <w:highlight w:val="none"/>
              </w:rPr>
            </w:pPr>
          </w:p>
        </w:tc>
        <w:tc>
          <w:tcPr>
            <w:tcW w:w="1490" w:type="pct"/>
            <w:noWrap w:val="0"/>
            <w:vAlign w:val="top"/>
          </w:tcPr>
          <w:p w14:paraId="460F8B7D">
            <w:pPr>
              <w:pStyle w:val="12"/>
              <w:spacing w:line="600" w:lineRule="exact"/>
              <w:rPr>
                <w:rFonts w:hint="eastAsia" w:ascii="宋体" w:hAnsi="宋体" w:eastAsia="宋体" w:cs="宋体"/>
                <w:color w:val="auto"/>
                <w:kern w:val="2"/>
                <w:sz w:val="24"/>
                <w:szCs w:val="24"/>
                <w:highlight w:val="none"/>
              </w:rPr>
            </w:pPr>
          </w:p>
        </w:tc>
        <w:tc>
          <w:tcPr>
            <w:tcW w:w="1226" w:type="pct"/>
            <w:noWrap w:val="0"/>
            <w:vAlign w:val="top"/>
          </w:tcPr>
          <w:p w14:paraId="73DCD18F">
            <w:pPr>
              <w:pStyle w:val="12"/>
              <w:spacing w:line="600" w:lineRule="exact"/>
              <w:rPr>
                <w:rFonts w:hint="eastAsia" w:ascii="宋体" w:hAnsi="宋体" w:eastAsia="宋体" w:cs="宋体"/>
                <w:color w:val="auto"/>
                <w:kern w:val="2"/>
                <w:sz w:val="24"/>
                <w:szCs w:val="24"/>
                <w:highlight w:val="none"/>
              </w:rPr>
            </w:pPr>
          </w:p>
        </w:tc>
      </w:tr>
    </w:tbl>
    <w:p w14:paraId="5E1E365B">
      <w:pPr>
        <w:snapToGrid w:val="0"/>
        <w:spacing w:before="50" w:after="50" w:line="360" w:lineRule="auto"/>
        <w:ind w:firstLine="560" w:firstLineChars="200"/>
        <w:rPr>
          <w:rFonts w:hint="default" w:ascii="宋体" w:hAnsi="宋体" w:eastAsia="宋体" w:cs="宋体"/>
          <w:color w:val="auto"/>
          <w:spacing w:val="20"/>
          <w:sz w:val="24"/>
          <w:highlight w:val="none"/>
          <w:lang w:val="en-US" w:eastAsia="zh-CN"/>
        </w:rPr>
      </w:pPr>
      <w:r>
        <w:rPr>
          <w:rFonts w:hint="eastAsia" w:ascii="宋体" w:hAnsi="宋体" w:eastAsia="宋体" w:cs="宋体"/>
          <w:color w:val="auto"/>
          <w:spacing w:val="20"/>
          <w:sz w:val="24"/>
          <w:highlight w:val="none"/>
          <w:lang w:val="en-US" w:eastAsia="zh-CN"/>
        </w:rPr>
        <w:t>备注：其他建议可结合本公司产品特点或行业内标准及共识提出，可提出增加参数或删减参数，写明该项建议的理由，原则上增加的核心参数至少有3家公司满足。</w:t>
      </w:r>
    </w:p>
    <w:p w14:paraId="4B66A7E5">
      <w:pPr>
        <w:snapToGrid w:val="0"/>
        <w:spacing w:before="50" w:after="50" w:line="360" w:lineRule="auto"/>
        <w:ind w:firstLine="3920" w:firstLineChars="14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eastAsia="zh-CN"/>
        </w:rPr>
        <w:t>参会单位</w:t>
      </w:r>
      <w:r>
        <w:rPr>
          <w:rFonts w:hint="eastAsia" w:ascii="宋体" w:hAnsi="宋体" w:eastAsia="宋体" w:cs="宋体"/>
          <w:color w:val="auto"/>
          <w:spacing w:val="20"/>
          <w:sz w:val="24"/>
          <w:highlight w:val="none"/>
        </w:rPr>
        <w:t>（盖公章）：</w:t>
      </w:r>
    </w:p>
    <w:p w14:paraId="11BDD0AA">
      <w:pPr>
        <w:snapToGrid w:val="0"/>
        <w:spacing w:before="50" w:after="50" w:line="360" w:lineRule="auto"/>
        <w:ind w:firstLine="3600" w:firstLineChars="1500"/>
        <w:rPr>
          <w:rFonts w:hint="eastAsia" w:ascii="宋体" w:hAnsi="宋体" w:eastAsia="宋体" w:cs="宋体"/>
          <w:color w:val="auto"/>
          <w:spacing w:val="20"/>
          <w:sz w:val="24"/>
          <w:highlight w:val="none"/>
        </w:rPr>
      </w:pPr>
      <w:r>
        <w:rPr>
          <w:rFonts w:hint="eastAsia" w:ascii="宋体" w:hAnsi="宋体" w:eastAsia="宋体" w:cs="宋体"/>
          <w:color w:val="auto"/>
          <w:sz w:val="24"/>
          <w:highlight w:val="none"/>
        </w:rPr>
        <w:t>法定代表人或者委托代理人</w:t>
      </w:r>
      <w:r>
        <w:rPr>
          <w:rFonts w:hint="eastAsia" w:ascii="宋体" w:hAnsi="宋体" w:eastAsia="宋体" w:cs="宋体"/>
          <w:color w:val="auto"/>
          <w:spacing w:val="20"/>
          <w:sz w:val="24"/>
          <w:highlight w:val="none"/>
        </w:rPr>
        <w:t>（签字）：</w:t>
      </w:r>
    </w:p>
    <w:p w14:paraId="498AEC64">
      <w:pPr>
        <w:pStyle w:val="23"/>
        <w:ind w:firstLine="3640" w:firstLineChars="1300"/>
        <w:rPr>
          <w:color w:val="auto"/>
          <w:highlight w:val="none"/>
        </w:rPr>
      </w:pPr>
      <w:r>
        <w:rPr>
          <w:rFonts w:hint="eastAsia" w:ascii="宋体" w:hAnsi="宋体" w:eastAsia="宋体" w:cs="宋体"/>
          <w:color w:val="auto"/>
          <w:spacing w:val="20"/>
          <w:sz w:val="24"/>
          <w:highlight w:val="none"/>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64FF7"/>
    <w:multiLevelType w:val="singleLevel"/>
    <w:tmpl w:val="C4164FF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MWI3YzYyMzdiZTVhMmE4ZjU5YWZjMWU1MjYzYjcifQ=="/>
  </w:docVars>
  <w:rsids>
    <w:rsidRoot w:val="531660CF"/>
    <w:rsid w:val="0080106A"/>
    <w:rsid w:val="02D9191E"/>
    <w:rsid w:val="078935B5"/>
    <w:rsid w:val="09BB1F51"/>
    <w:rsid w:val="0CC25380"/>
    <w:rsid w:val="16D10867"/>
    <w:rsid w:val="178F5592"/>
    <w:rsid w:val="249E0AD8"/>
    <w:rsid w:val="29AC5F8A"/>
    <w:rsid w:val="2FAA48BF"/>
    <w:rsid w:val="32FA1964"/>
    <w:rsid w:val="34FA1107"/>
    <w:rsid w:val="39F33202"/>
    <w:rsid w:val="3B51075F"/>
    <w:rsid w:val="40211FDE"/>
    <w:rsid w:val="41763C94"/>
    <w:rsid w:val="41D76279"/>
    <w:rsid w:val="47AF4D11"/>
    <w:rsid w:val="49702D90"/>
    <w:rsid w:val="4C653BF0"/>
    <w:rsid w:val="4D12627F"/>
    <w:rsid w:val="531660CF"/>
    <w:rsid w:val="53C93F9D"/>
    <w:rsid w:val="569A4DDE"/>
    <w:rsid w:val="5B1C21B1"/>
    <w:rsid w:val="5D8B2537"/>
    <w:rsid w:val="62BD30CC"/>
    <w:rsid w:val="69F670DB"/>
    <w:rsid w:val="74DD1D30"/>
    <w:rsid w:val="7A99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index 8"/>
    <w:basedOn w:val="1"/>
    <w:next w:val="1"/>
    <w:unhideWhenUsed/>
    <w:qFormat/>
    <w:uiPriority w:val="0"/>
    <w:pPr>
      <w:widowControl/>
      <w:ind w:left="1400" w:leftChars="1400"/>
    </w:pPr>
    <w:rPr>
      <w:rFonts w:ascii="宋体"/>
      <w:kern w:val="0"/>
      <w:sz w:val="34"/>
      <w:szCs w:val="22"/>
    </w:rPr>
  </w:style>
  <w:style w:type="paragraph" w:styleId="5">
    <w:name w:val="Normal Indent"/>
    <w:basedOn w:val="1"/>
    <w:qFormat/>
    <w:uiPriority w:val="0"/>
    <w:pPr>
      <w:widowControl/>
      <w:spacing w:line="360" w:lineRule="auto"/>
      <w:ind w:firstLine="0" w:firstLineChars="0"/>
      <w:jc w:val="left"/>
    </w:pPr>
    <w:rPr>
      <w:rFonts w:ascii="Times New Roman" w:hAnsi="Times New Roman" w:cs="Times New Roman"/>
      <w:kern w:val="0"/>
      <w:sz w:val="20"/>
      <w:szCs w:val="20"/>
    </w:rPr>
  </w:style>
  <w:style w:type="paragraph" w:styleId="6">
    <w:name w:val="toa heading"/>
    <w:basedOn w:val="1"/>
    <w:next w:val="1"/>
    <w:qFormat/>
    <w:uiPriority w:val="0"/>
    <w:pPr>
      <w:spacing w:before="120"/>
    </w:pPr>
    <w:rPr>
      <w:rFonts w:ascii="Arial" w:hAnsi="Arial"/>
    </w:rPr>
  </w:style>
  <w:style w:type="paragraph" w:styleId="7">
    <w:name w:val="annotation text"/>
    <w:basedOn w:val="1"/>
    <w:qFormat/>
    <w:uiPriority w:val="0"/>
    <w:pPr>
      <w:jc w:val="left"/>
    </w:pPr>
  </w:style>
  <w:style w:type="paragraph" w:styleId="8">
    <w:name w:val="Body Text 3"/>
    <w:basedOn w:val="1"/>
    <w:qFormat/>
    <w:uiPriority w:val="0"/>
    <w:pPr>
      <w:spacing w:line="500" w:lineRule="exact"/>
    </w:pPr>
    <w:rPr>
      <w:b/>
      <w:bCs/>
      <w:kern w:val="0"/>
      <w:sz w:val="24"/>
    </w:rPr>
  </w:style>
  <w:style w:type="paragraph" w:styleId="9">
    <w:name w:val="Body Text"/>
    <w:basedOn w:val="1"/>
    <w:next w:val="10"/>
    <w:qFormat/>
    <w:uiPriority w:val="99"/>
    <w:pPr>
      <w:spacing w:after="120"/>
    </w:pPr>
    <w:rPr>
      <w:rFonts w:eastAsia="楷体_GB2312"/>
      <w:sz w:val="30"/>
    </w:rPr>
  </w:style>
  <w:style w:type="paragraph" w:styleId="10">
    <w:name w:val="Date"/>
    <w:basedOn w:val="1"/>
    <w:next w:val="1"/>
    <w:qFormat/>
    <w:uiPriority w:val="0"/>
    <w:rPr>
      <w:sz w:val="24"/>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Plain Text"/>
    <w:basedOn w:val="1"/>
    <w:next w:val="4"/>
    <w:qFormat/>
    <w:uiPriority w:val="0"/>
    <w:rPr>
      <w:rFonts w:ascii="宋体" w:hAnsi="Courier New" w:cs="Courier New"/>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index 1"/>
    <w:basedOn w:val="1"/>
    <w:next w:val="1"/>
    <w:qFormat/>
    <w:uiPriority w:val="0"/>
    <w:pPr>
      <w:spacing w:line="400" w:lineRule="exact"/>
      <w:ind w:firstLine="420" w:firstLineChars="200"/>
    </w:pPr>
    <w:rPr>
      <w:rFonts w:ascii="宋体" w:hAnsi="Courier New" w:eastAsia="宋体" w:cs="Times New Roman"/>
      <w:b/>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annotation reference"/>
    <w:basedOn w:val="18"/>
    <w:qFormat/>
    <w:uiPriority w:val="0"/>
    <w:rPr>
      <w:sz w:val="21"/>
      <w:szCs w:val="21"/>
    </w:rPr>
  </w:style>
  <w:style w:type="paragraph" w:styleId="21">
    <w:name w:val="List Paragraph"/>
    <w:basedOn w:val="1"/>
    <w:qFormat/>
    <w:uiPriority w:val="34"/>
    <w:pPr>
      <w:spacing w:line="240" w:lineRule="auto"/>
    </w:pPr>
    <w:rPr>
      <w:rFonts w:asciiTheme="minorHAnsi" w:hAnsiTheme="minorHAnsi" w:eastAsiaTheme="minorEastAsia" w:cstheme="minorBidi"/>
    </w:rPr>
  </w:style>
  <w:style w:type="paragraph" w:customStyle="1" w:styleId="22">
    <w:name w:val="列出段落1"/>
    <w:basedOn w:val="1"/>
    <w:autoRedefine/>
    <w:qFormat/>
    <w:uiPriority w:val="0"/>
    <w:pPr>
      <w:ind w:firstLine="420" w:firstLineChars="200"/>
    </w:pPr>
  </w:style>
  <w:style w:type="paragraph" w:customStyle="1" w:styleId="23">
    <w:name w:val="表格文字"/>
    <w:basedOn w:val="1"/>
    <w:autoRedefine/>
    <w:qFormat/>
    <w:uiPriority w:val="99"/>
    <w:pPr>
      <w:spacing w:before="25" w:after="25"/>
      <w:jc w:val="left"/>
    </w:pPr>
    <w:rPr>
      <w:bCs/>
      <w:spacing w:val="10"/>
      <w:kern w:val="0"/>
      <w:sz w:val="24"/>
    </w:rPr>
  </w:style>
  <w:style w:type="paragraph" w:customStyle="1" w:styleId="24">
    <w:name w:val="正文1"/>
    <w:basedOn w:val="1"/>
    <w:qFormat/>
    <w:uiPriority w:val="0"/>
    <w:pPr>
      <w:spacing w:line="318" w:lineRule="atLeast"/>
      <w:ind w:left="369" w:firstLine="369"/>
    </w:pPr>
    <w:rPr>
      <w:rFonts w:ascii="宋体" w:hAnsi="Calibri"/>
    </w:rPr>
  </w:style>
  <w:style w:type="character" w:customStyle="1" w:styleId="25">
    <w:name w:val="font31"/>
    <w:basedOn w:val="18"/>
    <w:qFormat/>
    <w:uiPriority w:val="0"/>
    <w:rPr>
      <w:rFonts w:hint="eastAsia" w:ascii="宋体" w:hAnsi="宋体" w:eastAsia="宋体" w:cs="宋体"/>
      <w:color w:val="000000"/>
      <w:sz w:val="20"/>
      <w:szCs w:val="20"/>
      <w:u w:val="none"/>
    </w:rPr>
  </w:style>
  <w:style w:type="character" w:customStyle="1" w:styleId="26">
    <w:name w:val="font51"/>
    <w:basedOn w:val="1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780</Words>
  <Characters>839</Characters>
  <Lines>0</Lines>
  <Paragraphs>0</Paragraphs>
  <TotalTime>11</TotalTime>
  <ScaleCrop>false</ScaleCrop>
  <LinksUpToDate>false</LinksUpToDate>
  <CharactersWithSpaces>845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2024-11-22T00:34:00Z</dcterms:created>
  <dc:creator>蒋蒋</dc:creator>
  <cp:lastModifiedBy>梁璟</cp:lastModifiedBy>
  <cp:lastPrinted>2024-11-26T01:45:00Z</cp:lastPrinted>
  <dcterms:modified xsi:type="dcterms:W3CDTF">2024-11-27T02:02:02Z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854A65FC44E4484EA77941382BF7A8BF_13</vt:lpwstr>
  </property>
</Properties>
</file>