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0317">
      <w:pPr>
        <w:tabs>
          <w:tab w:val="left" w:pos="1050"/>
        </w:tabs>
        <w:spacing w:line="460" w:lineRule="exact"/>
        <w:jc w:val="center"/>
        <w:outlineLvl w:val="2"/>
        <w:rPr>
          <w:rFonts w:hint="eastAsia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eastAsia" w:cs="Times New Roman"/>
          <w:b/>
          <w:color w:val="auto"/>
          <w:sz w:val="28"/>
          <w:szCs w:val="28"/>
          <w:lang w:val="en-US" w:eastAsia="zh-CN"/>
        </w:rPr>
        <w:t>ASQ</w:t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</w:rPr>
        <w:t>技术参数及服务要求</w:t>
      </w:r>
    </w:p>
    <w:p w14:paraId="048730B8">
      <w:pPr>
        <w:tabs>
          <w:tab w:val="left" w:pos="1050"/>
        </w:tabs>
        <w:spacing w:line="460" w:lineRule="exact"/>
        <w:jc w:val="center"/>
        <w:outlineLvl w:val="2"/>
        <w:rPr>
          <w:rFonts w:hint="eastAsia" w:ascii="Times New Roman" w:hAnsi="Times New Roman" w:eastAsia="宋体" w:cs="Times New Roman"/>
          <w:b/>
          <w:color w:val="auto"/>
          <w:sz w:val="28"/>
          <w:szCs w:val="28"/>
        </w:rPr>
      </w:pPr>
    </w:p>
    <w:p w14:paraId="0AD61F9F"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用于临床筛查、科研项目研究、儿童保健等事宜。</w:t>
      </w:r>
    </w:p>
    <w:p w14:paraId="6F0E9AE7">
      <w:pPr>
        <w:numPr>
          <w:ilvl w:val="0"/>
          <w:numId w:val="1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评估内容包括儿童综合发育筛查（测试一）和社会-情绪发育筛查（测试二）。</w:t>
      </w:r>
    </w:p>
    <w:p w14:paraId="32193706">
      <w:pPr>
        <w:numPr>
          <w:ilvl w:val="0"/>
          <w:numId w:val="0"/>
        </w:numPr>
        <w:spacing w:line="420" w:lineRule="exact"/>
        <w:ind w:left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★3、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4"/>
        </w:rPr>
        <w:t>测试一</w:t>
      </w: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ASQ-3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、测试二</w:t>
      </w: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ASQ:SE-2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均需获得版权方“保罗布鲁克斯出版有限公司”授权，需提供相关文件。</w:t>
      </w:r>
    </w:p>
    <w:p w14:paraId="5FD11A95">
      <w:pPr>
        <w:numPr>
          <w:ilvl w:val="0"/>
          <w:numId w:val="0"/>
        </w:numPr>
        <w:spacing w:line="420" w:lineRule="exact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测试一适用于1个月0天-66个月0天月龄儿童，测试二适用于1个月0天-72个月0天月龄儿童。</w:t>
      </w:r>
    </w:p>
    <w:p w14:paraId="54B2C4A1">
      <w:pPr>
        <w:numPr>
          <w:ilvl w:val="0"/>
          <w:numId w:val="2"/>
        </w:numPr>
        <w:spacing w:line="420" w:lineRule="exact"/>
        <w:ind w:left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</w:rPr>
        <w:t>网络在线筛查系统，可在线出具筛查报告，准确、方便、快捷。评估原始分与常模分数（问题临界点）的对比由计算机程序自动完成，并即时生成评估报告，易于操作。</w:t>
      </w:r>
    </w:p>
    <w:p w14:paraId="7B3AFE5B">
      <w:pPr>
        <w:numPr>
          <w:ilvl w:val="0"/>
          <w:numId w:val="0"/>
        </w:numPr>
        <w:spacing w:line="420" w:lineRule="exact"/>
        <w:ind w:left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★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6、测试一和测试二中国大陆版本的全国常模研究，及信效度标准化研究的数据结果，并且已在国内核心期刊上发表。</w:t>
      </w:r>
    </w:p>
    <w:p w14:paraId="03D1F561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</w:rPr>
        <w:t>测试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一和测试二具体内容要求如下：</w:t>
      </w:r>
    </w:p>
    <w:p w14:paraId="2F58BDB1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.1测试一分为2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个月龄组：评估6岁以下儿童的身体发育，每份问卷共有五个能区：</w:t>
      </w:r>
    </w:p>
    <w:p w14:paraId="2027C82A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沟通能区：评估对语言的理解和口头表达能力；</w:t>
      </w:r>
    </w:p>
    <w:p w14:paraId="2D8D41B4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粗大动作：评估大肌肉的运动能力；</w:t>
      </w:r>
    </w:p>
    <w:p w14:paraId="50D5FD13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精细动作：评估手和手指的运动和协调的能力；</w:t>
      </w:r>
    </w:p>
    <w:p w14:paraId="5C837C27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解决问题：评估玩玩具和解决问题的能力；</w:t>
      </w:r>
    </w:p>
    <w:p w14:paraId="7D38F2F1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个人-社会：评估单独社交性玩耍、玩玩具、自助技能以及与其他人互动的能力。</w:t>
      </w:r>
    </w:p>
    <w:p w14:paraId="205928D9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测试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二包括</w:t>
      </w:r>
      <w:r>
        <w:rPr>
          <w:rFonts w:hint="eastAsia" w:ascii="宋体" w:hAnsi="宋体" w:eastAsia="宋体" w:cs="宋体"/>
          <w:color w:val="auto"/>
          <w:sz w:val="24"/>
        </w:rPr>
        <w:t>9个月龄组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评估评估6岁以下儿童的社会-情绪发展，心理健康水平，每份问卷共有七个能区：</w:t>
      </w:r>
    </w:p>
    <w:p w14:paraId="78739C03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自我调控：使自己安静、安顿下来或适应生理或环境状况的能力或意愿；</w:t>
      </w:r>
    </w:p>
    <w:p w14:paraId="41B50A48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依从性：服从他人指令和遵守规则的能力或意愿；</w:t>
      </w:r>
    </w:p>
    <w:p w14:paraId="6FB4129F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适应能力：成功地解决或应对生理需要（例如，睡觉、吃饭、排泄和安全）的能力；</w:t>
      </w:r>
    </w:p>
    <w:p w14:paraId="25AEE832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自主性：自行发起或无指令下行动（例如，自主移动）的能力或意愿；</w:t>
      </w:r>
    </w:p>
    <w:p w14:paraId="2155808B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情感：展示感情和对他人的同情心的能力和意愿；</w:t>
      </w:r>
    </w:p>
    <w:p w14:paraId="6E846485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社会-沟通：响应或自发发出言语或非言语信号来表示兴趣、需求、感觉、感情或内部状态的能力或意愿；</w:t>
      </w:r>
    </w:p>
    <w:p w14:paraId="4E8CD22E">
      <w:p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人际互动：回应或发起与父母、其他成人和同龄儿童的社交反应的能力或意愿。</w:t>
      </w:r>
    </w:p>
    <w:p w14:paraId="7ECE1DE7">
      <w:pPr>
        <w:numPr>
          <w:ilvl w:val="-1"/>
          <w:numId w:val="0"/>
        </w:numPr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测试一和测试二均要求提供定性评价结果，包括“高于界值、接近界值和低于界值”，</w:t>
      </w:r>
    </w:p>
    <w:p w14:paraId="50DEDFFB"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</w:rPr>
        <w:t>根据评估结果，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除共性指导外，需依照儿童发育偏离</w:t>
      </w:r>
      <w:r>
        <w:rPr>
          <w:rFonts w:hint="eastAsia" w:ascii="宋体" w:hAnsi="宋体" w:eastAsia="宋体" w:cs="宋体"/>
          <w:color w:val="auto"/>
          <w:sz w:val="24"/>
        </w:rPr>
        <w:t>针对性的指导方案，方便家长正确的引导和矫正婴幼儿可能出现的发育迟缓现象</w:t>
      </w:r>
      <w:r>
        <w:rPr>
          <w:rFonts w:hint="eastAsia" w:ascii="宋体" w:hAnsi="宋体" w:cs="宋体"/>
          <w:color w:val="auto"/>
          <w:sz w:val="24"/>
          <w:lang w:eastAsia="zh-CN"/>
        </w:rPr>
        <w:t>。测试二筛查后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</w:t>
      </w:r>
      <w:r>
        <w:rPr>
          <w:rFonts w:hint="eastAsia" w:ascii="宋体" w:hAnsi="宋体" w:cs="宋体"/>
          <w:color w:val="auto"/>
          <w:sz w:val="24"/>
          <w:lang w:eastAsia="zh-CN"/>
        </w:rPr>
        <w:t>，包括儿童社会-情绪行为发展指南、儿童社会-情绪游戏活动列表，以及《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ASQ:SE-2</w:t>
      </w:r>
      <w:r>
        <w:rPr>
          <w:rFonts w:hint="eastAsia" w:ascii="宋体" w:hAnsi="宋体" w:cs="宋体"/>
          <w:color w:val="auto"/>
          <w:sz w:val="24"/>
          <w:lang w:eastAsia="zh-CN"/>
        </w:rPr>
        <w:t>学习活动及其延伸》。</w:t>
      </w:r>
    </w:p>
    <w:p w14:paraId="23FC3903">
      <w:pPr>
        <w:rPr>
          <w:rFonts w:hint="eastAsia" w:ascii="宋体" w:hAnsi="宋体" w:cs="宋体"/>
          <w:color w:val="auto"/>
        </w:rPr>
      </w:pPr>
    </w:p>
    <w:p w14:paraId="36A202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DCBFB"/>
    <w:multiLevelType w:val="singleLevel"/>
    <w:tmpl w:val="A66DCBFB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8FD0113"/>
    <w:multiLevelType w:val="singleLevel"/>
    <w:tmpl w:val="28FD01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jk3YzgwY2ExZjAyOTBmZTZjNTczNDY0Y2ZlY2UifQ=="/>
  </w:docVars>
  <w:rsids>
    <w:rsidRoot w:val="7EC87D5E"/>
    <w:rsid w:val="7EC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2024-10-15T03:39:00Z</dcterms:created>
  <dc:creator>杨佰慧</dc:creator>
  <cp:lastModifiedBy>杨佰慧</cp:lastModifiedBy>
  <dcterms:modified xsi:type="dcterms:W3CDTF">2024-10-15T03:40:20Z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14A59542A80E43C19C8B6D7A27F110FF_11</vt:lpwstr>
  </property>
</Properties>
</file>