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广西壮族自治区生殖医院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w w:val="9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highlight w:val="none"/>
        </w:rPr>
        <w:t>广西人类</w:t>
      </w:r>
      <w:r>
        <w:rPr>
          <w:rFonts w:hint="eastAsia" w:ascii="方正小标宋简体" w:hAnsi="方正小标宋简体" w:eastAsia="方正小标宋简体" w:cs="方正小标宋简体"/>
          <w:color w:val="333333"/>
          <w:w w:val="96"/>
          <w:sz w:val="44"/>
          <w:szCs w:val="44"/>
          <w:highlight w:val="none"/>
        </w:rPr>
        <w:t>辅助生殖技术规范化</w:t>
      </w:r>
      <w:r>
        <w:rPr>
          <w:rFonts w:hint="eastAsia" w:ascii="方正小标宋简体" w:hAnsi="方正小标宋简体" w:eastAsia="方正小标宋简体" w:cs="方正小标宋简体"/>
          <w:color w:val="333333"/>
          <w:w w:val="96"/>
          <w:sz w:val="44"/>
          <w:szCs w:val="44"/>
        </w:rPr>
        <w:t>培训须知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尊敬的老师：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您好！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欢迎来到广西壮族自治区生殖医院参加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广西人类辅助生殖技术规范化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培训，现将您在我院培训期间工作要求，考勤制度、结业要求等相关事宜告知如下：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一、工作要求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1.培训期间请严格遵守医院的规章制度，服从科室排班管理；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2.严格按医院服务要求与患者进行沟通，不得发生医疗纠纷；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3.培训学员的所有操作要严格执行操作规程，预防差错事故，发生差错事故应当立即汇报带教老师及科室主任，不得隐瞒；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4.贵重仪器不能擅自单独操作，应在带教老师的指导下进行，如有损坏，按医院规定酌情赔偿；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5.培训期间拍摄（包括病例、科室资料等），必须征求带教老师同意方可进行；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6.请按时参加科室业务学习，并积极参加医院举办的学术讲座，学习内容包括：知识讲座、疑难病例讨论、文献学习、科室小讲课等；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7.按医院要求穿戴好工作服，佩戴工作胸牌。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二、考勤制度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1.工作日为周一至周五全天，周六、周日上午，具体要求听从科室安排；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rPr>
          <w:rFonts w:hint="eastAsia" w:ascii="仿宋_GB2312" w:hAnsi="仿宋_GB2312" w:eastAsia="仿宋_GB2312" w:cs="仿宋_GB2312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</w:rPr>
        <w:t>2.早上8：00到岗，下午13:30到岗，具体要求听从科室安排；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3.培训期间原则上不准请事假、探亲假，如有特殊原因请假者，三天以内须报备科室主任审批同意，三天及以上须报备科室主任审批同意、我院科教科审批同意及原单位出具请假证明；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rPr>
          <w:rFonts w:hint="eastAsia" w:ascii="仿宋_GB2312" w:hAnsi="仿宋_GB2312" w:eastAsia="仿宋_GB2312" w:cs="仿宋_GB2312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</w:rPr>
        <w:t>4.请假超过七天者，返岗后需补回请假时间方可发放结业证书；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5.节假日听从科室安排。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三、存在下列情况之一，予培训不合格，做终止培训处理：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1.突患严重疾病等原因无法坚持培训；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rPr>
          <w:rFonts w:hint="eastAsia" w:ascii="仿宋_GB2312" w:hAnsi="仿宋_GB2312" w:eastAsia="仿宋_GB2312" w:cs="仿宋_GB2312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</w:rPr>
        <w:t>2.未按要求请假擅自离院连续超过3天者或累计超过一周者。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3.患者或带教老师投诉存在过错≥2次；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4.培训期间严重违反规章制度，经科室主任或带教老师多次教育无效，视为考评不合格，将终止培训。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四、结业要求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rPr>
          <w:rFonts w:hint="eastAsia" w:ascii="仿宋_GB2312" w:hAnsi="仿宋_GB2312" w:eastAsia="仿宋_GB2312" w:cs="仿宋_GB2312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</w:rPr>
        <w:t>1.培训学习期间遵守医院、科室规章制度，无违规、违纪现象；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2.按要求参加科室组织的考核及我院科教科组织结业考试，成绩合格。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jdhMzA4MDdkNjIxYWZhOTgyNjllZDBhNjA5OWQifQ=="/>
  </w:docVars>
  <w:rsids>
    <w:rsidRoot w:val="00000000"/>
    <w:rsid w:val="44D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玮玮1395385365</cp:lastModifiedBy>
  <dcterms:modified xsi:type="dcterms:W3CDTF">2023-11-16T07:31:43Z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FDE53A3B7B684801A5248FF7A87CAB6C_12</vt:lpwstr>
  </property>
</Properties>
</file>